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692C3">
      <w:pPr>
        <w:spacing w:before="80" w:after="30"/>
        <w:jc w:val="center"/>
        <w:rPr>
          <w:rFonts w:ascii="Arial" w:hAnsi="Arial" w:cs="Arial"/>
        </w:rPr>
      </w:pPr>
      <w:r>
        <w:rPr>
          <w:rFonts w:ascii="Arial" w:hAnsi="Arial" w:eastAsia="黑体" w:cs="Arial"/>
          <w:b/>
          <w:sz w:val="52"/>
          <w:szCs w:val="52"/>
        </w:rPr>
        <w:t>Sustar PeptiMax</w:t>
      </w:r>
    </w:p>
    <w:p w14:paraId="692B6D13">
      <w:pPr>
        <w:spacing w:after="50"/>
        <w:jc w:val="center"/>
        <w:rPr>
          <w:rFonts w:ascii="Arial" w:hAnsi="Arial" w:cs="Arial"/>
        </w:rPr>
      </w:pPr>
      <w:r>
        <w:rPr>
          <w:rFonts w:ascii="Arial" w:hAnsi="Arial" w:cs="Arial"/>
          <w:sz w:val="22"/>
          <w:szCs w:val="22"/>
        </w:rPr>
        <w:t>High-Digestibility Functional Soy Protein</w:t>
      </w:r>
    </w:p>
    <w:p w14:paraId="42045B54">
      <w:pPr>
        <w:spacing w:after="60"/>
        <w:jc w:val="center"/>
        <w:rPr>
          <w:rFonts w:ascii="Arial" w:hAnsi="Arial" w:cs="Arial"/>
        </w:rPr>
      </w:pPr>
      <w:r>
        <w:rPr>
          <w:rFonts w:ascii="Arial" w:hAnsi="Arial" w:cs="Arial"/>
        </w:rPr>
        <w:t>High-Protein Fermented Plant Protein · Functional Yeast Culture</w:t>
      </w:r>
    </w:p>
    <w:p w14:paraId="3C306ECC">
      <w:pPr>
        <w:jc w:val="center"/>
        <w:rPr>
          <w:rFonts w:ascii="Arial" w:hAnsi="Arial" w:cs="Arial"/>
        </w:rPr>
      </w:pPr>
      <w:r>
        <w:rPr>
          <w:rFonts w:ascii="Arial" w:hAnsi="Arial" w:cs="Arial"/>
        </w:rPr>
        <w:t xml:space="preserve">High-Digestibility Fermented Plant Protein – A Cost-Effective Alternative to Fishmeal, Yeast Hydrolysate, and </w:t>
      </w:r>
      <w:r>
        <w:rPr>
          <w:rFonts w:hint="eastAsia" w:ascii="Arial" w:hAnsi="Arial" w:cs="Arial"/>
          <w:lang w:eastAsia="zh-CN"/>
        </w:rPr>
        <w:t>Premium</w:t>
      </w:r>
      <w:r>
        <w:rPr>
          <w:rFonts w:ascii="Arial" w:hAnsi="Arial" w:cs="Arial"/>
        </w:rPr>
        <w:t xml:space="preserve"> Fermented Plant Proteins</w:t>
      </w:r>
    </w:p>
    <w:p w14:paraId="29175450">
      <w:pPr>
        <w:spacing w:before="320" w:after="150"/>
        <w:outlineLvl w:val="0"/>
        <w:rPr>
          <w:rFonts w:ascii="Arial" w:hAnsi="Arial" w:cs="Arial"/>
        </w:rPr>
      </w:pPr>
      <w:r>
        <w:rPr>
          <w:rFonts w:ascii="Arial" w:hAnsi="Arial" w:eastAsia="黑体" w:cs="Arial"/>
          <w:b/>
          <w:sz w:val="32"/>
          <w:szCs w:val="32"/>
        </w:rPr>
        <w:t>I. Product Positioning</w:t>
      </w:r>
    </w:p>
    <w:p w14:paraId="7F0A507C">
      <w:pPr>
        <w:spacing w:after="100" w:line="300" w:lineRule="auto"/>
        <w:rPr>
          <w:rFonts w:ascii="Arial" w:hAnsi="Arial" w:cs="Arial"/>
        </w:rPr>
      </w:pPr>
      <w:r>
        <w:rPr>
          <w:rFonts w:ascii="Arial" w:hAnsi="Arial" w:cs="Arial"/>
        </w:rPr>
        <w:t xml:space="preserve">Sustar PeptiMax is a high-digestibility functional soy protein produced from high-quality soybean meal as the substrate, through a proprietary process involving deep aerobic fermentation with Saccharomyces cerevisiae, high-temperature conditioning, enzymatic hydrolysis, aerobic fermentation, extrusion puffing, and low-temperature drying. </w:t>
      </w:r>
    </w:p>
    <w:p w14:paraId="49BE9391">
      <w:pPr>
        <w:spacing w:after="100" w:line="300" w:lineRule="auto"/>
        <w:rPr>
          <w:rFonts w:ascii="Arial" w:hAnsi="Arial" w:cs="Arial"/>
        </w:rPr>
      </w:pPr>
      <w:r>
        <w:rPr>
          <w:rFonts w:ascii="Arial" w:hAnsi="Arial" w:cs="Arial"/>
        </w:rPr>
        <w:t>Compared with conventional fermented soybean meal and single-ingredient yeast cultures, this product delivers dual value as both a high-digestibility fermented plant protein and a functional yeast culture.</w:t>
      </w:r>
    </w:p>
    <w:p w14:paraId="2F2FF885">
      <w:pPr>
        <w:pBdr>
          <w:top w:val="single" w:color="000000" w:sz="6" w:space="5"/>
          <w:bottom w:val="single" w:color="000000" w:sz="6" w:space="5"/>
        </w:pBdr>
        <w:spacing w:after="130"/>
        <w:jc w:val="center"/>
        <w:rPr>
          <w:rFonts w:ascii="Arial" w:hAnsi="Arial" w:cs="Arial"/>
        </w:rPr>
      </w:pPr>
      <w:r>
        <w:rPr>
          <w:rFonts w:ascii="Arial" w:hAnsi="Arial" w:cs="Arial"/>
          <w:b/>
          <w:sz w:val="20"/>
          <w:szCs w:val="20"/>
        </w:rPr>
        <w:t xml:space="preserve">As a high-digestibility fermented plant protein, it can partially replace fishmeal, yeast hydrolysate, and </w:t>
      </w:r>
      <w:r>
        <w:rPr>
          <w:rFonts w:hint="eastAsia" w:ascii="Arial" w:hAnsi="Arial" w:cs="Arial"/>
          <w:b/>
          <w:sz w:val="20"/>
          <w:szCs w:val="20"/>
          <w:lang w:eastAsia="zh-CN"/>
        </w:rPr>
        <w:t>premium</w:t>
      </w:r>
      <w:r>
        <w:rPr>
          <w:rFonts w:ascii="Arial" w:hAnsi="Arial" w:cs="Arial"/>
          <w:b/>
          <w:sz w:val="20"/>
          <w:szCs w:val="20"/>
        </w:rPr>
        <w:t xml:space="preserve"> fermented plant proteins</w:t>
      </w:r>
    </w:p>
    <w:p w14:paraId="5E5DCDCC">
      <w:pPr>
        <w:spacing w:before="190" w:after="80"/>
        <w:rPr>
          <w:rFonts w:ascii="Arial" w:hAnsi="Arial" w:cs="Arial"/>
        </w:rPr>
      </w:pPr>
      <w:r>
        <w:rPr>
          <w:rFonts w:ascii="Arial" w:hAnsi="Arial" w:eastAsia="黑体" w:cs="Arial"/>
          <w:b/>
          <w:sz w:val="24"/>
          <w:szCs w:val="24"/>
        </w:rPr>
        <w:t>Applicable Animals</w:t>
      </w:r>
    </w:p>
    <w:p w14:paraId="4FACEFE3">
      <w:pPr>
        <w:spacing w:after="100" w:line="300" w:lineRule="auto"/>
        <w:rPr>
          <w:rFonts w:ascii="Arial" w:hAnsi="Arial" w:cs="Arial"/>
        </w:rPr>
      </w:pPr>
      <w:r>
        <w:rPr>
          <w:rFonts w:ascii="Arial" w:hAnsi="Arial" w:cs="Arial"/>
        </w:rPr>
        <w:t>Primarily suitable for premium aquaculture species such as shrimp, grouper, sea bass, yellow catfish, mandarin fish, salmon, and eel, as well as young terrestrial animals like piglets.</w:t>
      </w:r>
    </w:p>
    <w:p w14:paraId="387BBD12">
      <w:pPr>
        <w:spacing w:before="320" w:after="150"/>
        <w:outlineLvl w:val="0"/>
        <w:rPr>
          <w:rFonts w:ascii="Arial" w:hAnsi="Arial" w:cs="Arial"/>
        </w:rPr>
      </w:pPr>
      <w:r>
        <w:rPr>
          <w:rFonts w:ascii="Arial" w:hAnsi="Arial" w:eastAsia="黑体" w:cs="Arial"/>
          <w:b/>
          <w:sz w:val="32"/>
          <w:szCs w:val="32"/>
        </w:rPr>
        <w:t>II. Production Process</w:t>
      </w:r>
    </w:p>
    <w:p w14:paraId="7E111AB3">
      <w:pPr>
        <w:spacing w:before="190" w:after="80"/>
        <w:outlineLvl w:val="1"/>
        <w:rPr>
          <w:rFonts w:ascii="Arial" w:hAnsi="Arial" w:cs="Arial"/>
        </w:rPr>
      </w:pPr>
      <w:r>
        <w:rPr>
          <w:rFonts w:ascii="Arial" w:hAnsi="Arial" w:eastAsia="黑体" w:cs="Arial"/>
          <w:b/>
          <w:sz w:val="24"/>
          <w:szCs w:val="24"/>
        </w:rPr>
        <w:t>2.1 Process Flow</w:t>
      </w:r>
    </w:p>
    <w:p w14:paraId="713A49F3">
      <w:pPr>
        <w:pBdr>
          <w:top w:val="single" w:color="000000" w:sz="6" w:space="5"/>
          <w:bottom w:val="single" w:color="000000" w:sz="6" w:space="5"/>
        </w:pBdr>
        <w:spacing w:after="130"/>
        <w:jc w:val="center"/>
        <w:rPr>
          <w:rFonts w:ascii="Arial" w:hAnsi="Arial" w:cs="Arial"/>
        </w:rPr>
      </w:pPr>
      <w:r>
        <w:rPr>
          <w:rFonts w:ascii="Arial" w:hAnsi="Arial" w:cs="Arial"/>
          <w:b/>
          <w:sz w:val="20"/>
          <w:szCs w:val="20"/>
        </w:rPr>
        <w:t>High-temperature conditioning → Enzymatic saccharification → Yeast inoculation → Aerobic fermentation → Yeast autolysis → Extrusion puffing → Low-temperature drying → Packaging</w:t>
      </w:r>
    </w:p>
    <w:p w14:paraId="36C817DD">
      <w:pPr>
        <w:spacing w:before="190" w:after="80"/>
        <w:outlineLvl w:val="1"/>
        <w:rPr>
          <w:rFonts w:hint="eastAsia" w:ascii="Arial" w:hAnsi="Arial" w:eastAsia="黑体" w:cs="Arial"/>
          <w:b/>
          <w:sz w:val="24"/>
          <w:szCs w:val="24"/>
          <w:lang w:val="en-US" w:eastAsia="zh-CN"/>
        </w:rPr>
      </w:pPr>
      <w:r>
        <w:rPr>
          <w:rFonts w:ascii="Arial" w:hAnsi="Arial" w:eastAsia="黑体" w:cs="Arial"/>
          <w:b/>
          <w:sz w:val="24"/>
          <w:szCs w:val="24"/>
        </w:rPr>
        <w:t>2.2 Key Process</w:t>
      </w:r>
      <w:r>
        <w:rPr>
          <w:rFonts w:hint="eastAsia" w:ascii="Arial" w:hAnsi="Arial" w:eastAsia="黑体" w:cs="Arial"/>
          <w:b/>
          <w:sz w:val="24"/>
          <w:szCs w:val="24"/>
          <w:lang w:val="en-US" w:eastAsia="zh-CN"/>
        </w:rPr>
        <w:t xml:space="preserve"> </w:t>
      </w:r>
      <w:r>
        <w:rPr>
          <w:rFonts w:ascii="Arial" w:hAnsi="Arial" w:eastAsia="黑体" w:cs="Arial"/>
          <w:b/>
          <w:sz w:val="24"/>
          <w:szCs w:val="24"/>
        </w:rPr>
        <w:t xml:space="preserve">Control </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1900"/>
        <w:gridCol w:w="7460"/>
      </w:tblGrid>
      <w:tr w14:paraId="66159B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19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33104621">
            <w:pPr>
              <w:spacing w:line="264" w:lineRule="auto"/>
              <w:jc w:val="left"/>
              <w:rPr>
                <w:rFonts w:ascii="Arial" w:hAnsi="Arial" w:cs="Arial"/>
              </w:rPr>
            </w:pPr>
            <w:r>
              <w:rPr>
                <w:rFonts w:ascii="Arial" w:hAnsi="Arial" w:cs="Arial"/>
                <w:b/>
                <w:sz w:val="20"/>
                <w:szCs w:val="20"/>
              </w:rPr>
              <w:t>Process</w:t>
            </w:r>
          </w:p>
        </w:tc>
        <w:tc>
          <w:tcPr>
            <w:tcW w:w="746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25F1E2F">
            <w:pPr>
              <w:spacing w:line="264" w:lineRule="auto"/>
              <w:jc w:val="left"/>
              <w:rPr>
                <w:rFonts w:ascii="Arial" w:hAnsi="Arial" w:cs="Arial"/>
              </w:rPr>
            </w:pPr>
            <w:r>
              <w:rPr>
                <w:rFonts w:ascii="Arial" w:hAnsi="Arial" w:cs="Arial"/>
                <w:b/>
                <w:sz w:val="20"/>
                <w:szCs w:val="20"/>
              </w:rPr>
              <w:t>Parameter / Function</w:t>
            </w:r>
          </w:p>
        </w:tc>
      </w:tr>
      <w:tr w14:paraId="6700619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900" w:type="dxa"/>
            <w:tcBorders>
              <w:top w:val="nil"/>
              <w:left w:val="nil"/>
              <w:bottom w:val="nil"/>
              <w:right w:val="nil"/>
            </w:tcBorders>
            <w:tcMar>
              <w:top w:w="55" w:type="dxa"/>
              <w:left w:w="90" w:type="dxa"/>
              <w:bottom w:w="55" w:type="dxa"/>
              <w:right w:w="90" w:type="dxa"/>
            </w:tcMar>
            <w:vAlign w:val="center"/>
          </w:tcPr>
          <w:p w14:paraId="65F7D6AC">
            <w:pPr>
              <w:spacing w:line="264" w:lineRule="auto"/>
              <w:jc w:val="left"/>
              <w:rPr>
                <w:rFonts w:ascii="Arial" w:hAnsi="Arial" w:cs="Arial"/>
              </w:rPr>
            </w:pPr>
            <w:r>
              <w:rPr>
                <w:rFonts w:ascii="Arial" w:hAnsi="Arial" w:cs="Arial"/>
                <w:b/>
                <w:sz w:val="19"/>
                <w:szCs w:val="19"/>
              </w:rPr>
              <w:t>High-temperature conditioning</w:t>
            </w:r>
          </w:p>
        </w:tc>
        <w:tc>
          <w:tcPr>
            <w:tcW w:w="7460" w:type="dxa"/>
            <w:tcBorders>
              <w:top w:val="nil"/>
              <w:left w:val="nil"/>
              <w:bottom w:val="nil"/>
              <w:right w:val="nil"/>
            </w:tcBorders>
            <w:tcMar>
              <w:top w:w="55" w:type="dxa"/>
              <w:left w:w="90" w:type="dxa"/>
              <w:bottom w:w="55" w:type="dxa"/>
              <w:right w:w="90" w:type="dxa"/>
            </w:tcMar>
            <w:vAlign w:val="center"/>
          </w:tcPr>
          <w:p w14:paraId="6FF361EB">
            <w:pPr>
              <w:spacing w:line="264" w:lineRule="auto"/>
              <w:jc w:val="left"/>
              <w:rPr>
                <w:rFonts w:ascii="Arial" w:hAnsi="Arial" w:cs="Arial"/>
              </w:rPr>
            </w:pPr>
            <w:r>
              <w:rPr>
                <w:rFonts w:ascii="Arial" w:hAnsi="Arial" w:cs="Arial"/>
                <w:sz w:val="19"/>
                <w:szCs w:val="19"/>
              </w:rPr>
              <w:t>90°C, 20 min; it will sterilize raw materials, eliminate microorganisms, reduce contamination risks during fermentation, and improve product stability</w:t>
            </w:r>
          </w:p>
        </w:tc>
      </w:tr>
      <w:tr w14:paraId="478CEAF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900" w:type="dxa"/>
            <w:tcBorders>
              <w:top w:val="nil"/>
              <w:left w:val="nil"/>
              <w:bottom w:val="nil"/>
              <w:right w:val="nil"/>
            </w:tcBorders>
            <w:tcMar>
              <w:top w:w="55" w:type="dxa"/>
              <w:left w:w="90" w:type="dxa"/>
              <w:bottom w:w="55" w:type="dxa"/>
              <w:right w:w="90" w:type="dxa"/>
            </w:tcMar>
            <w:vAlign w:val="center"/>
          </w:tcPr>
          <w:p w14:paraId="14ADBDF2">
            <w:pPr>
              <w:spacing w:line="264" w:lineRule="auto"/>
              <w:jc w:val="left"/>
              <w:rPr>
                <w:rFonts w:ascii="Arial" w:hAnsi="Arial" w:cs="Arial"/>
              </w:rPr>
            </w:pPr>
            <w:r>
              <w:rPr>
                <w:rFonts w:ascii="Arial" w:hAnsi="Arial" w:cs="Arial"/>
                <w:b/>
                <w:sz w:val="19"/>
                <w:szCs w:val="19"/>
              </w:rPr>
              <w:t>Enzymatic saccharification</w:t>
            </w:r>
          </w:p>
        </w:tc>
        <w:tc>
          <w:tcPr>
            <w:tcW w:w="7460" w:type="dxa"/>
            <w:tcBorders>
              <w:top w:val="nil"/>
              <w:left w:val="nil"/>
              <w:bottom w:val="nil"/>
              <w:right w:val="nil"/>
            </w:tcBorders>
            <w:tcMar>
              <w:top w:w="55" w:type="dxa"/>
              <w:left w:w="90" w:type="dxa"/>
              <w:bottom w:w="55" w:type="dxa"/>
              <w:right w:w="90" w:type="dxa"/>
            </w:tcMar>
            <w:vAlign w:val="center"/>
          </w:tcPr>
          <w:p w14:paraId="685CB4B1">
            <w:pPr>
              <w:spacing w:line="264" w:lineRule="auto"/>
              <w:jc w:val="left"/>
              <w:rPr>
                <w:rFonts w:ascii="Arial" w:hAnsi="Arial" w:cs="Arial"/>
              </w:rPr>
            </w:pPr>
            <w:r>
              <w:rPr>
                <w:rFonts w:ascii="Arial" w:hAnsi="Arial" w:cs="Arial"/>
                <w:sz w:val="19"/>
                <w:szCs w:val="19"/>
              </w:rPr>
              <w:t xml:space="preserve">Glucoamylase, mannanase </w:t>
            </w:r>
            <w:r>
              <w:rPr>
                <w:rFonts w:hint="eastAsia" w:ascii="Arial" w:hAnsi="Arial" w:cs="Arial"/>
                <w:sz w:val="19"/>
                <w:szCs w:val="19"/>
                <w:lang w:val="en-US" w:eastAsia="zh-CN"/>
              </w:rPr>
              <w:t>etc.</w:t>
            </w:r>
            <w:r>
              <w:rPr>
                <w:rFonts w:ascii="Arial" w:hAnsi="Arial" w:cs="Arial"/>
                <w:sz w:val="19"/>
                <w:szCs w:val="19"/>
              </w:rPr>
              <w:t xml:space="preserve"> are used to pretreat carbohydrates to control fermentation loss and remove oligosaccharides</w:t>
            </w:r>
          </w:p>
        </w:tc>
      </w:tr>
      <w:tr w14:paraId="3B3F795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900" w:type="dxa"/>
            <w:tcBorders>
              <w:top w:val="nil"/>
              <w:left w:val="nil"/>
              <w:bottom w:val="nil"/>
              <w:right w:val="nil"/>
            </w:tcBorders>
            <w:tcMar>
              <w:top w:w="55" w:type="dxa"/>
              <w:left w:w="90" w:type="dxa"/>
              <w:bottom w:w="55" w:type="dxa"/>
              <w:right w:w="90" w:type="dxa"/>
            </w:tcMar>
            <w:vAlign w:val="center"/>
          </w:tcPr>
          <w:p w14:paraId="041E67C3">
            <w:pPr>
              <w:spacing w:line="264" w:lineRule="auto"/>
              <w:jc w:val="left"/>
              <w:rPr>
                <w:rFonts w:ascii="Arial" w:hAnsi="Arial" w:cs="Arial"/>
              </w:rPr>
            </w:pPr>
            <w:r>
              <w:rPr>
                <w:rFonts w:ascii="Arial" w:hAnsi="Arial" w:cs="Arial"/>
                <w:b/>
                <w:sz w:val="19"/>
                <w:szCs w:val="19"/>
              </w:rPr>
              <w:t>Aerobic fermentation</w:t>
            </w:r>
          </w:p>
        </w:tc>
        <w:tc>
          <w:tcPr>
            <w:tcW w:w="7460" w:type="dxa"/>
            <w:tcBorders>
              <w:top w:val="nil"/>
              <w:left w:val="nil"/>
              <w:bottom w:val="nil"/>
              <w:right w:val="nil"/>
            </w:tcBorders>
            <w:tcMar>
              <w:top w:w="55" w:type="dxa"/>
              <w:left w:w="90" w:type="dxa"/>
              <w:bottom w:w="55" w:type="dxa"/>
              <w:right w:w="90" w:type="dxa"/>
            </w:tcMar>
            <w:vAlign w:val="center"/>
          </w:tcPr>
          <w:p w14:paraId="1D7F6481">
            <w:pPr>
              <w:spacing w:line="264" w:lineRule="auto"/>
              <w:jc w:val="left"/>
              <w:rPr>
                <w:rFonts w:ascii="Arial" w:hAnsi="Arial" w:cs="Arial"/>
              </w:rPr>
            </w:pPr>
            <w:r>
              <w:rPr>
                <w:rFonts w:ascii="Arial" w:hAnsi="Arial" w:cs="Arial"/>
                <w:sz w:val="19"/>
                <w:szCs w:val="19"/>
              </w:rPr>
              <w:t xml:space="preserve">Shallow-layer aerobic fermentation with yeast: vigorous cell growth and high cell counts; abundant aerobic and anaerobic metabolites; </w:t>
            </w:r>
            <w:r>
              <w:rPr>
                <w:rFonts w:ascii="Arial" w:hAnsi="Arial" w:eastAsia="宋体" w:cs="Arial"/>
                <w:color w:val="000000"/>
                <w:sz w:val="19"/>
                <w:szCs w:val="19"/>
                <w:lang w:val="en" w:eastAsia="zh-CN" w:bidi="ar-SA"/>
              </w:rPr>
              <w:t>raising substrate consumption, thereby concentrating protein</w:t>
            </w:r>
          </w:p>
        </w:tc>
      </w:tr>
      <w:tr w14:paraId="2AA03FC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900" w:type="dxa"/>
            <w:tcBorders>
              <w:top w:val="nil"/>
              <w:left w:val="nil"/>
              <w:bottom w:val="nil"/>
              <w:right w:val="nil"/>
            </w:tcBorders>
            <w:tcMar>
              <w:top w:w="55" w:type="dxa"/>
              <w:left w:w="90" w:type="dxa"/>
              <w:bottom w:w="55" w:type="dxa"/>
              <w:right w:w="90" w:type="dxa"/>
            </w:tcMar>
            <w:vAlign w:val="center"/>
          </w:tcPr>
          <w:p w14:paraId="0D1EB53B">
            <w:pPr>
              <w:spacing w:line="264" w:lineRule="auto"/>
              <w:jc w:val="left"/>
              <w:rPr>
                <w:rFonts w:ascii="Arial" w:hAnsi="Arial" w:cs="Arial"/>
              </w:rPr>
            </w:pPr>
            <w:r>
              <w:rPr>
                <w:rFonts w:ascii="Arial" w:hAnsi="Arial" w:cs="Arial"/>
                <w:b/>
                <w:sz w:val="19"/>
                <w:szCs w:val="19"/>
              </w:rPr>
              <w:t>Extrusion puffing</w:t>
            </w:r>
          </w:p>
        </w:tc>
        <w:tc>
          <w:tcPr>
            <w:tcW w:w="7460" w:type="dxa"/>
            <w:tcBorders>
              <w:top w:val="nil"/>
              <w:left w:val="nil"/>
              <w:bottom w:val="nil"/>
              <w:right w:val="nil"/>
            </w:tcBorders>
            <w:tcMar>
              <w:top w:w="55" w:type="dxa"/>
              <w:left w:w="90" w:type="dxa"/>
              <w:bottom w:w="55" w:type="dxa"/>
              <w:right w:w="90" w:type="dxa"/>
            </w:tcMar>
            <w:vAlign w:val="center"/>
          </w:tcPr>
          <w:p w14:paraId="6E1B5BDE">
            <w:pPr>
              <w:spacing w:line="264" w:lineRule="auto"/>
              <w:jc w:val="left"/>
              <w:rPr>
                <w:rFonts w:ascii="Arial" w:hAnsi="Arial" w:cs="Arial"/>
              </w:rPr>
            </w:pPr>
            <w:r>
              <w:rPr>
                <w:rFonts w:ascii="Arial" w:hAnsi="Arial" w:cs="Arial"/>
                <w:sz w:val="19"/>
                <w:szCs w:val="19"/>
              </w:rPr>
              <w:t>Soybean globular protein is modified into a loose fibrous structure for better water-holding capacity and digestibility</w:t>
            </w:r>
          </w:p>
        </w:tc>
      </w:tr>
      <w:tr w14:paraId="3BE1A2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900" w:type="dxa"/>
            <w:tcBorders>
              <w:top w:val="nil"/>
              <w:left w:val="nil"/>
              <w:bottom w:val="single" w:color="000000" w:sz="12" w:space="0"/>
              <w:right w:val="nil"/>
            </w:tcBorders>
            <w:tcMar>
              <w:top w:w="55" w:type="dxa"/>
              <w:left w:w="90" w:type="dxa"/>
              <w:bottom w:w="55" w:type="dxa"/>
              <w:right w:w="90" w:type="dxa"/>
            </w:tcMar>
            <w:vAlign w:val="center"/>
          </w:tcPr>
          <w:p w14:paraId="60BB469A">
            <w:pPr>
              <w:spacing w:line="264" w:lineRule="auto"/>
              <w:jc w:val="left"/>
              <w:rPr>
                <w:rFonts w:ascii="Arial" w:hAnsi="Arial" w:cs="Arial"/>
              </w:rPr>
            </w:pPr>
            <w:r>
              <w:rPr>
                <w:rFonts w:ascii="Arial" w:hAnsi="Arial" w:cs="Arial"/>
                <w:b/>
                <w:sz w:val="19"/>
                <w:szCs w:val="19"/>
              </w:rPr>
              <w:t>Low-temperature drying</w:t>
            </w:r>
          </w:p>
        </w:tc>
        <w:tc>
          <w:tcPr>
            <w:tcW w:w="7460" w:type="dxa"/>
            <w:tcBorders>
              <w:top w:val="nil"/>
              <w:left w:val="nil"/>
              <w:bottom w:val="single" w:color="000000" w:sz="12" w:space="0"/>
              <w:right w:val="nil"/>
            </w:tcBorders>
            <w:tcMar>
              <w:top w:w="55" w:type="dxa"/>
              <w:left w:w="90" w:type="dxa"/>
              <w:bottom w:w="55" w:type="dxa"/>
              <w:right w:w="90" w:type="dxa"/>
            </w:tcMar>
            <w:vAlign w:val="center"/>
          </w:tcPr>
          <w:p w14:paraId="0B905A37">
            <w:pPr>
              <w:spacing w:line="264" w:lineRule="auto"/>
              <w:jc w:val="left"/>
              <w:rPr>
                <w:rFonts w:ascii="Arial" w:hAnsi="Arial" w:cs="Arial"/>
              </w:rPr>
            </w:pPr>
            <w:r>
              <w:rPr>
                <w:rFonts w:ascii="Arial" w:hAnsi="Arial" w:cs="Arial"/>
                <w:sz w:val="19"/>
                <w:szCs w:val="19"/>
              </w:rPr>
              <w:t>Since the fermentation has already consumed the monosaccharides in soybean meal, the Maillard reaction during drying is significantly reduced, enhancing digestibility; low temperature maximizes retention of bioactive substances</w:t>
            </w:r>
          </w:p>
        </w:tc>
      </w:tr>
    </w:tbl>
    <w:p w14:paraId="5A2052FC">
      <w:pPr>
        <w:spacing w:before="190" w:after="80"/>
        <w:outlineLvl w:val="1"/>
        <w:rPr>
          <w:rFonts w:ascii="Arial" w:hAnsi="Arial" w:cs="Arial"/>
        </w:rPr>
      </w:pPr>
      <w:r>
        <w:rPr>
          <w:rFonts w:ascii="Arial" w:hAnsi="Arial" w:eastAsia="黑体" w:cs="Arial"/>
          <w:b/>
          <w:sz w:val="24"/>
          <w:szCs w:val="24"/>
        </w:rPr>
        <w:t>2.3 Constant</w:t>
      </w:r>
      <w:r>
        <w:rPr>
          <w:rFonts w:ascii="Cambria Math" w:hAnsi="Cambria Math" w:eastAsia="黑体" w:cs="Cambria Math"/>
          <w:b/>
          <w:sz w:val="24"/>
          <w:szCs w:val="24"/>
        </w:rPr>
        <w:t>‑</w:t>
      </w:r>
      <w:r>
        <w:rPr>
          <w:rFonts w:ascii="Arial" w:hAnsi="Arial" w:eastAsia="黑体" w:cs="Arial"/>
          <w:b/>
          <w:sz w:val="24"/>
          <w:szCs w:val="24"/>
        </w:rPr>
        <w:t>Temperature Purified Fermentation Workshop</w:t>
      </w:r>
    </w:p>
    <w:p w14:paraId="251C7A45">
      <w:pPr>
        <w:spacing w:after="100" w:line="300" w:lineRule="auto"/>
        <w:rPr>
          <w:rFonts w:ascii="Arial" w:hAnsi="Arial" w:cs="Arial"/>
        </w:rPr>
      </w:pPr>
      <w:r>
        <w:rPr>
          <w:rFonts w:ascii="Arial" w:hAnsi="Arial" w:cs="Arial"/>
        </w:rPr>
        <w:t>Proprietary strains, multi</w:t>
      </w:r>
      <w:r>
        <w:rPr>
          <w:rFonts w:ascii="Cambria Math" w:hAnsi="Cambria Math" w:cs="Cambria Math"/>
        </w:rPr>
        <w:t>‑</w:t>
      </w:r>
      <w:r>
        <w:rPr>
          <w:rFonts w:ascii="Arial" w:hAnsi="Arial" w:cs="Arial"/>
        </w:rPr>
        <w:t>strain combination, purified workshop, constant</w:t>
      </w:r>
      <w:r>
        <w:rPr>
          <w:rFonts w:ascii="Cambria Math" w:hAnsi="Cambria Math" w:cs="Cambria Math"/>
        </w:rPr>
        <w:t>‑</w:t>
      </w:r>
      <w:r>
        <w:rPr>
          <w:rFonts w:ascii="Arial" w:hAnsi="Arial" w:cs="Arial"/>
        </w:rPr>
        <w:t>temperature fermentation, uniform fermentation, and fully automated operation ensure biosafety and consistent fermentation performance throughout the yeast fermentation process.</w:t>
      </w:r>
    </w:p>
    <w:p w14:paraId="508B720C">
      <w:pPr>
        <w:spacing w:before="100" w:after="50"/>
        <w:jc w:val="center"/>
        <w:rPr>
          <w:rFonts w:ascii="Arial" w:hAnsi="Arial" w:cs="Arial"/>
        </w:rPr>
      </w:pPr>
      <w:r>
        <w:rPr>
          <w:rFonts w:ascii="Arial" w:hAnsi="Arial" w:cs="Arial"/>
        </w:rPr>
        <w:drawing>
          <wp:inline distT="0" distB="0" distL="0" distR="0">
            <wp:extent cx="5943600" cy="1435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5943600" cy="1435608"/>
                    </a:xfrm>
                    <a:prstGeom prst="rect">
                      <a:avLst/>
                    </a:prstGeom>
                  </pic:spPr>
                </pic:pic>
              </a:graphicData>
            </a:graphic>
          </wp:inline>
        </w:drawing>
      </w:r>
    </w:p>
    <w:p w14:paraId="10A30D0E">
      <w:pPr>
        <w:spacing w:after="140"/>
        <w:jc w:val="center"/>
        <w:rPr>
          <w:rFonts w:ascii="Arial" w:hAnsi="Arial" w:cs="Arial"/>
        </w:rPr>
      </w:pPr>
      <w:r>
        <w:rPr>
          <w:rFonts w:ascii="Arial" w:hAnsi="Arial" w:cs="Arial"/>
          <w:sz w:val="17"/>
          <w:szCs w:val="17"/>
        </w:rPr>
        <w:t>Figure 1 Live View of Constant</w:t>
      </w:r>
      <w:r>
        <w:rPr>
          <w:rFonts w:ascii="Cambria Math" w:hAnsi="Cambria Math" w:cs="Cambria Math"/>
          <w:sz w:val="17"/>
          <w:szCs w:val="17"/>
        </w:rPr>
        <w:t>‑</w:t>
      </w:r>
      <w:r>
        <w:rPr>
          <w:rFonts w:ascii="Arial" w:hAnsi="Arial" w:cs="Arial"/>
          <w:sz w:val="17"/>
          <w:szCs w:val="17"/>
        </w:rPr>
        <w:t>Temperature Purified Fermentation Workshop and Automated Production Line</w:t>
      </w:r>
    </w:p>
    <w:p w14:paraId="5A388BA1">
      <w:pPr>
        <w:spacing w:before="190" w:after="80"/>
        <w:outlineLvl w:val="1"/>
        <w:rPr>
          <w:rFonts w:ascii="Arial" w:hAnsi="Arial" w:cs="Arial"/>
        </w:rPr>
      </w:pPr>
      <w:r>
        <w:rPr>
          <w:rFonts w:ascii="Arial" w:hAnsi="Arial" w:eastAsia="黑体" w:cs="Arial"/>
          <w:b/>
          <w:sz w:val="24"/>
          <w:szCs w:val="24"/>
        </w:rPr>
        <w:t>2.4 Substance Transformation during Fermentation</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1700"/>
        <w:gridCol w:w="4030"/>
        <w:gridCol w:w="3630"/>
      </w:tblGrid>
      <w:tr w14:paraId="191A6E2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17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46518C82">
            <w:pPr>
              <w:spacing w:line="264" w:lineRule="auto"/>
              <w:jc w:val="left"/>
              <w:rPr>
                <w:rFonts w:ascii="Arial" w:hAnsi="Arial" w:cs="Arial"/>
              </w:rPr>
            </w:pPr>
            <w:r>
              <w:rPr>
                <w:rFonts w:ascii="Arial" w:hAnsi="Arial" w:cs="Arial"/>
                <w:b/>
              </w:rPr>
              <w:t>Raw Material Component</w:t>
            </w:r>
          </w:p>
        </w:tc>
        <w:tc>
          <w:tcPr>
            <w:tcW w:w="403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41883C15">
            <w:pPr>
              <w:spacing w:line="264" w:lineRule="auto"/>
              <w:jc w:val="left"/>
              <w:rPr>
                <w:rFonts w:ascii="Arial" w:hAnsi="Arial" w:cs="Arial"/>
              </w:rPr>
            </w:pPr>
            <w:r>
              <w:rPr>
                <w:rFonts w:ascii="Arial" w:hAnsi="Arial" w:cs="Arial"/>
                <w:b/>
              </w:rPr>
              <w:t>Role &amp; Transformation</w:t>
            </w:r>
          </w:p>
        </w:tc>
        <w:tc>
          <w:tcPr>
            <w:tcW w:w="363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2275B7D7">
            <w:pPr>
              <w:spacing w:line="264" w:lineRule="auto"/>
              <w:jc w:val="left"/>
              <w:rPr>
                <w:rFonts w:ascii="Arial" w:hAnsi="Arial" w:cs="Arial"/>
              </w:rPr>
            </w:pPr>
            <w:r>
              <w:rPr>
                <w:rFonts w:ascii="Arial" w:hAnsi="Arial" w:cs="Arial"/>
                <w:b/>
              </w:rPr>
              <w:t>Transformation Product</w:t>
            </w:r>
          </w:p>
        </w:tc>
      </w:tr>
      <w:tr w14:paraId="70BCF9A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700" w:type="dxa"/>
            <w:tcBorders>
              <w:top w:val="nil"/>
              <w:left w:val="nil"/>
              <w:bottom w:val="nil"/>
              <w:right w:val="nil"/>
            </w:tcBorders>
            <w:tcMar>
              <w:top w:w="55" w:type="dxa"/>
              <w:left w:w="90" w:type="dxa"/>
              <w:bottom w:w="55" w:type="dxa"/>
              <w:right w:w="90" w:type="dxa"/>
            </w:tcMar>
            <w:vAlign w:val="center"/>
          </w:tcPr>
          <w:p w14:paraId="260086BE">
            <w:pPr>
              <w:spacing w:line="264" w:lineRule="auto"/>
              <w:jc w:val="left"/>
              <w:rPr>
                <w:rFonts w:ascii="Arial" w:hAnsi="Arial" w:cs="Arial"/>
              </w:rPr>
            </w:pPr>
            <w:r>
              <w:rPr>
                <w:rFonts w:ascii="Arial" w:hAnsi="Arial" w:cs="Arial"/>
                <w:b/>
              </w:rPr>
              <w:t>Starch, saccharides</w:t>
            </w:r>
          </w:p>
        </w:tc>
        <w:tc>
          <w:tcPr>
            <w:tcW w:w="4030" w:type="dxa"/>
            <w:tcBorders>
              <w:top w:val="nil"/>
              <w:left w:val="nil"/>
              <w:bottom w:val="nil"/>
              <w:right w:val="nil"/>
            </w:tcBorders>
            <w:tcMar>
              <w:top w:w="55" w:type="dxa"/>
              <w:left w:w="90" w:type="dxa"/>
              <w:bottom w:w="55" w:type="dxa"/>
              <w:right w:w="90" w:type="dxa"/>
            </w:tcMar>
            <w:vAlign w:val="center"/>
          </w:tcPr>
          <w:p w14:paraId="7D3DDFD1">
            <w:pPr>
              <w:spacing w:line="264" w:lineRule="auto"/>
              <w:jc w:val="left"/>
              <w:rPr>
                <w:rFonts w:ascii="Arial" w:hAnsi="Arial" w:cs="Arial"/>
              </w:rPr>
            </w:pPr>
            <w:r>
              <w:rPr>
                <w:rFonts w:ascii="Arial" w:hAnsi="Arial" w:cs="Arial"/>
              </w:rPr>
              <w:t>Easily digestible starch: converted into monosaccharides or disaccharides during pretreatment</w:t>
            </w:r>
          </w:p>
        </w:tc>
        <w:tc>
          <w:tcPr>
            <w:tcW w:w="3630" w:type="dxa"/>
            <w:tcBorders>
              <w:top w:val="nil"/>
              <w:left w:val="nil"/>
              <w:bottom w:val="nil"/>
              <w:right w:val="nil"/>
            </w:tcBorders>
            <w:tcMar>
              <w:top w:w="55" w:type="dxa"/>
              <w:left w:w="90" w:type="dxa"/>
              <w:bottom w:w="55" w:type="dxa"/>
              <w:right w:w="90" w:type="dxa"/>
            </w:tcMar>
            <w:vAlign w:val="center"/>
          </w:tcPr>
          <w:p w14:paraId="49C048FD">
            <w:pPr>
              <w:spacing w:line="264" w:lineRule="auto"/>
              <w:jc w:val="left"/>
              <w:rPr>
                <w:rFonts w:ascii="Arial" w:hAnsi="Arial" w:cs="Arial"/>
              </w:rPr>
            </w:pPr>
            <w:r>
              <w:rPr>
                <w:rFonts w:ascii="Arial" w:hAnsi="Arial" w:cs="Arial"/>
              </w:rPr>
              <w:t>Probiotics: converted into probiotic biomass such as yeast cells</w:t>
            </w:r>
          </w:p>
        </w:tc>
      </w:tr>
      <w:tr w14:paraId="5647811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700" w:type="dxa"/>
            <w:tcBorders>
              <w:top w:val="nil"/>
              <w:left w:val="nil"/>
              <w:bottom w:val="nil"/>
              <w:right w:val="nil"/>
            </w:tcBorders>
            <w:tcMar>
              <w:top w:w="55" w:type="dxa"/>
              <w:left w:w="90" w:type="dxa"/>
              <w:bottom w:w="55" w:type="dxa"/>
              <w:right w:w="90" w:type="dxa"/>
            </w:tcMar>
            <w:vAlign w:val="center"/>
          </w:tcPr>
          <w:p w14:paraId="1CC39E5F">
            <w:pPr>
              <w:spacing w:line="264" w:lineRule="auto"/>
              <w:jc w:val="left"/>
              <w:rPr>
                <w:rFonts w:ascii="Arial" w:hAnsi="Arial" w:cs="Arial"/>
              </w:rPr>
            </w:pPr>
            <w:r>
              <w:rPr>
                <w:rFonts w:ascii="Arial" w:hAnsi="Arial" w:cs="Arial"/>
                <w:b/>
              </w:rPr>
              <w:t>Plant protein</w:t>
            </w:r>
          </w:p>
        </w:tc>
        <w:tc>
          <w:tcPr>
            <w:tcW w:w="4030" w:type="dxa"/>
            <w:tcBorders>
              <w:top w:val="nil"/>
              <w:left w:val="nil"/>
              <w:bottom w:val="nil"/>
              <w:right w:val="nil"/>
            </w:tcBorders>
            <w:tcMar>
              <w:top w:w="55" w:type="dxa"/>
              <w:left w:w="90" w:type="dxa"/>
              <w:bottom w:w="55" w:type="dxa"/>
              <w:right w:w="90" w:type="dxa"/>
            </w:tcMar>
            <w:vAlign w:val="center"/>
          </w:tcPr>
          <w:p w14:paraId="179F564A">
            <w:pPr>
              <w:spacing w:line="264" w:lineRule="auto"/>
              <w:jc w:val="left"/>
              <w:rPr>
                <w:rFonts w:ascii="Arial" w:hAnsi="Arial" w:cs="Arial"/>
              </w:rPr>
            </w:pPr>
            <w:r>
              <w:rPr>
                <w:rFonts w:ascii="Arial" w:hAnsi="Arial" w:cs="Arial"/>
              </w:rPr>
              <w:t>Provide carbon and nitrogen sources for fermentation; serves as the main fermentation substrate</w:t>
            </w:r>
          </w:p>
        </w:tc>
        <w:tc>
          <w:tcPr>
            <w:tcW w:w="3630" w:type="dxa"/>
            <w:tcBorders>
              <w:top w:val="nil"/>
              <w:left w:val="nil"/>
              <w:bottom w:val="nil"/>
              <w:right w:val="nil"/>
            </w:tcBorders>
            <w:tcMar>
              <w:top w:w="55" w:type="dxa"/>
              <w:left w:w="90" w:type="dxa"/>
              <w:bottom w:w="55" w:type="dxa"/>
              <w:right w:w="90" w:type="dxa"/>
            </w:tcMar>
            <w:vAlign w:val="center"/>
          </w:tcPr>
          <w:p w14:paraId="56BE1C10">
            <w:pPr>
              <w:spacing w:line="264" w:lineRule="auto"/>
              <w:jc w:val="left"/>
              <w:rPr>
                <w:rFonts w:ascii="Arial" w:hAnsi="Arial" w:cs="Arial"/>
              </w:rPr>
            </w:pPr>
            <w:r>
              <w:rPr>
                <w:rFonts w:ascii="Arial" w:hAnsi="Arial" w:cs="Arial"/>
              </w:rPr>
              <w:t>Modified protein: pre</w:t>
            </w:r>
            <w:r>
              <w:rPr>
                <w:rFonts w:ascii="Cambria Math" w:hAnsi="Cambria Math" w:cs="Cambria Math"/>
              </w:rPr>
              <w:t>‑</w:t>
            </w:r>
            <w:r>
              <w:rPr>
                <w:rFonts w:ascii="Arial" w:hAnsi="Arial" w:cs="Arial"/>
              </w:rPr>
              <w:t>digested in vitro to improve protein utilization</w:t>
            </w:r>
          </w:p>
        </w:tc>
      </w:tr>
      <w:tr w14:paraId="2503FE9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700" w:type="dxa"/>
            <w:tcBorders>
              <w:top w:val="nil"/>
              <w:left w:val="nil"/>
              <w:bottom w:val="single" w:color="000000" w:sz="12" w:space="0"/>
              <w:right w:val="nil"/>
            </w:tcBorders>
            <w:tcMar>
              <w:top w:w="55" w:type="dxa"/>
              <w:left w:w="90" w:type="dxa"/>
              <w:bottom w:w="55" w:type="dxa"/>
              <w:right w:w="90" w:type="dxa"/>
            </w:tcMar>
            <w:vAlign w:val="center"/>
          </w:tcPr>
          <w:p w14:paraId="102FD25B">
            <w:pPr>
              <w:spacing w:line="264" w:lineRule="auto"/>
              <w:jc w:val="left"/>
              <w:rPr>
                <w:rFonts w:ascii="Arial" w:hAnsi="Arial" w:cs="Arial"/>
              </w:rPr>
            </w:pPr>
            <w:r>
              <w:rPr>
                <w:rFonts w:ascii="Arial" w:hAnsi="Arial" w:cs="Arial"/>
                <w:b/>
              </w:rPr>
              <w:t xml:space="preserve">Special components </w:t>
            </w:r>
          </w:p>
        </w:tc>
        <w:tc>
          <w:tcPr>
            <w:tcW w:w="4030" w:type="dxa"/>
            <w:tcBorders>
              <w:top w:val="nil"/>
              <w:left w:val="nil"/>
              <w:bottom w:val="single" w:color="000000" w:sz="12" w:space="0"/>
              <w:right w:val="nil"/>
            </w:tcBorders>
            <w:tcMar>
              <w:top w:w="55" w:type="dxa"/>
              <w:left w:w="90" w:type="dxa"/>
              <w:bottom w:w="55" w:type="dxa"/>
              <w:right w:w="90" w:type="dxa"/>
            </w:tcMar>
            <w:vAlign w:val="center"/>
          </w:tcPr>
          <w:p w14:paraId="15A5AABA">
            <w:pPr>
              <w:spacing w:line="264" w:lineRule="auto"/>
              <w:jc w:val="left"/>
              <w:rPr>
                <w:rFonts w:ascii="Arial" w:hAnsi="Arial" w:cs="Arial"/>
              </w:rPr>
            </w:pPr>
            <w:r>
              <w:rPr>
                <w:rFonts w:ascii="Arial" w:hAnsi="Arial" w:cs="Arial"/>
              </w:rPr>
              <w:t>Such as trace elements and growth factors, inducing the fermentation direction</w:t>
            </w:r>
          </w:p>
        </w:tc>
        <w:tc>
          <w:tcPr>
            <w:tcW w:w="3630" w:type="dxa"/>
            <w:tcBorders>
              <w:top w:val="nil"/>
              <w:left w:val="nil"/>
              <w:bottom w:val="single" w:color="000000" w:sz="12" w:space="0"/>
              <w:right w:val="nil"/>
            </w:tcBorders>
            <w:tcMar>
              <w:top w:w="55" w:type="dxa"/>
              <w:left w:w="90" w:type="dxa"/>
              <w:bottom w:w="55" w:type="dxa"/>
              <w:right w:w="90" w:type="dxa"/>
            </w:tcMar>
            <w:vAlign w:val="center"/>
          </w:tcPr>
          <w:p w14:paraId="0F9367DB">
            <w:pPr>
              <w:spacing w:line="264" w:lineRule="auto"/>
              <w:jc w:val="left"/>
              <w:rPr>
                <w:rFonts w:ascii="Arial" w:hAnsi="Arial" w:cs="Arial"/>
              </w:rPr>
            </w:pPr>
            <w:r>
              <w:rPr>
                <w:rFonts w:ascii="Arial" w:hAnsi="Arial" w:cs="Arial"/>
              </w:rPr>
              <w:t>Metabolites: nucleotides, yeast cell wall components, and other feed intake</w:t>
            </w:r>
            <w:r>
              <w:rPr>
                <w:rFonts w:ascii="Cambria Math" w:hAnsi="Cambria Math" w:cs="Cambria Math"/>
              </w:rPr>
              <w:t>‑</w:t>
            </w:r>
            <w:r>
              <w:rPr>
                <w:rFonts w:ascii="Arial" w:hAnsi="Arial" w:cs="Arial"/>
              </w:rPr>
              <w:t>promoting substances</w:t>
            </w:r>
          </w:p>
        </w:tc>
      </w:tr>
    </w:tbl>
    <w:p w14:paraId="254A01DB">
      <w:pPr>
        <w:spacing w:before="190" w:after="80"/>
        <w:outlineLvl w:val="1"/>
        <w:rPr>
          <w:rFonts w:ascii="Arial" w:hAnsi="Arial" w:cs="Arial"/>
        </w:rPr>
      </w:pPr>
      <w:r>
        <w:rPr>
          <w:rFonts w:ascii="Arial" w:hAnsi="Arial" w:eastAsia="黑体" w:cs="Arial"/>
          <w:b/>
          <w:sz w:val="24"/>
          <w:szCs w:val="24"/>
        </w:rPr>
        <w:t>2.5 Protein Texturization</w:t>
      </w:r>
    </w:p>
    <w:p w14:paraId="2335E7BB">
      <w:pPr>
        <w:spacing w:after="100" w:line="300" w:lineRule="auto"/>
        <w:rPr>
          <w:rFonts w:ascii="Arial" w:hAnsi="Arial" w:cs="Arial"/>
        </w:rPr>
      </w:pPr>
      <w:r>
        <w:rPr>
          <w:rFonts w:ascii="Arial" w:hAnsi="Arial" w:cs="Arial"/>
        </w:rPr>
        <w:t>After fermentation, extrusion, and puffing, the spherical soybean protein is transformed from a dense globular structure into a loose fibrous structure, resembling the spatial organization and digestive characteristics of animal protein.</w:t>
      </w:r>
    </w:p>
    <w:p w14:paraId="6607BB1C">
      <w:pPr>
        <w:spacing w:before="100" w:after="50"/>
        <w:jc w:val="center"/>
        <w:rPr>
          <w:rFonts w:ascii="Arial" w:hAnsi="Arial" w:cs="Arial"/>
        </w:rPr>
      </w:pPr>
      <w:r>
        <w:rPr>
          <w:rFonts w:ascii="Arial" w:hAnsi="Arial" w:cs="Arial"/>
        </w:rPr>
        <w:drawing>
          <wp:inline distT="0" distB="0" distL="0" distR="0">
            <wp:extent cx="5669280" cy="1828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srcRect/>
                    <a:stretch>
                      <a:fillRect/>
                    </a:stretch>
                  </pic:blipFill>
                  <pic:spPr>
                    <a:xfrm>
                      <a:off x="0" y="0"/>
                      <a:ext cx="5669280" cy="1828800"/>
                    </a:xfrm>
                    <a:prstGeom prst="rect">
                      <a:avLst/>
                    </a:prstGeom>
                  </pic:spPr>
                </pic:pic>
              </a:graphicData>
            </a:graphic>
          </wp:inline>
        </w:drawing>
      </w:r>
    </w:p>
    <w:p w14:paraId="51A21AA1">
      <w:pPr>
        <w:spacing w:after="140"/>
        <w:jc w:val="center"/>
        <w:rPr>
          <w:rFonts w:ascii="Arial" w:hAnsi="Arial" w:cs="Arial"/>
        </w:rPr>
      </w:pPr>
      <w:r>
        <w:rPr>
          <w:rFonts w:ascii="Arial" w:hAnsi="Arial" w:cs="Arial"/>
          <w:sz w:val="17"/>
          <w:szCs w:val="17"/>
        </w:rPr>
        <w:t>Figure 2 Product SEM Images (a, b, c) - Showing the protein fibrous structure</w:t>
      </w:r>
    </w:p>
    <w:p w14:paraId="52E47D2F">
      <w:pPr>
        <w:spacing w:before="320" w:after="150"/>
        <w:outlineLvl w:val="0"/>
        <w:rPr>
          <w:rFonts w:ascii="Arial" w:hAnsi="Arial" w:cs="Arial"/>
        </w:rPr>
      </w:pPr>
      <w:r>
        <w:rPr>
          <w:rFonts w:ascii="Arial" w:hAnsi="Arial" w:eastAsia="黑体" w:cs="Arial"/>
          <w:b/>
          <w:sz w:val="32"/>
          <w:szCs w:val="32"/>
        </w:rPr>
        <w:t>III. Core Advantages</w:t>
      </w:r>
    </w:p>
    <w:p w14:paraId="22A36717">
      <w:pPr>
        <w:spacing w:after="100" w:line="300" w:lineRule="auto"/>
        <w:rPr>
          <w:rFonts w:ascii="Arial" w:hAnsi="Arial" w:cs="Arial"/>
        </w:rPr>
      </w:pPr>
      <w:r>
        <w:rPr>
          <w:rFonts w:ascii="Arial" w:hAnsi="Arial" w:cs="Arial"/>
        </w:rPr>
        <w:t>The advantages of Sustar PeptiMax can be summarized in six aspects: high</w:t>
      </w:r>
      <w:r>
        <w:rPr>
          <w:rFonts w:ascii="Cambria Math" w:hAnsi="Cambria Math" w:cs="Cambria Math"/>
        </w:rPr>
        <w:t>‑</w:t>
      </w:r>
      <w:r>
        <w:rPr>
          <w:rFonts w:ascii="Arial" w:hAnsi="Arial" w:cs="Arial"/>
        </w:rPr>
        <w:t>digestibility plant protein, dual fermentation, extremely low anti</w:t>
      </w:r>
      <w:r>
        <w:rPr>
          <w:rFonts w:ascii="Cambria Math" w:hAnsi="Cambria Math" w:cs="Cambria Math"/>
        </w:rPr>
        <w:t>‑</w:t>
      </w:r>
      <w:r>
        <w:rPr>
          <w:rFonts w:ascii="Arial" w:hAnsi="Arial" w:cs="Arial"/>
        </w:rPr>
        <w:t>nutritional factors, animal</w:t>
      </w:r>
      <w:r>
        <w:rPr>
          <w:rFonts w:ascii="Cambria Math" w:hAnsi="Cambria Math" w:cs="Cambria Math"/>
        </w:rPr>
        <w:t>‑</w:t>
      </w:r>
      <w:r>
        <w:rPr>
          <w:rFonts w:ascii="Arial" w:hAnsi="Arial" w:cs="Arial"/>
        </w:rPr>
        <w:t>like protein structure, improving gut health and immunity, and reducing formula cost. These are detailed below.</w:t>
      </w:r>
    </w:p>
    <w:p w14:paraId="71B6B039">
      <w:pPr>
        <w:spacing w:before="190" w:after="80"/>
        <w:outlineLvl w:val="1"/>
        <w:rPr>
          <w:rFonts w:ascii="Arial" w:hAnsi="Arial" w:cs="Arial"/>
        </w:rPr>
      </w:pPr>
      <w:r>
        <w:rPr>
          <w:rFonts w:ascii="Arial" w:hAnsi="Arial" w:eastAsia="黑体" w:cs="Arial"/>
          <w:b/>
          <w:sz w:val="24"/>
          <w:szCs w:val="24"/>
        </w:rPr>
        <w:t>3.1 High</w:t>
      </w:r>
      <w:r>
        <w:rPr>
          <w:rFonts w:ascii="Cambria Math" w:hAnsi="Cambria Math" w:eastAsia="黑体" w:cs="Cambria Math"/>
          <w:b/>
          <w:sz w:val="24"/>
          <w:szCs w:val="24"/>
        </w:rPr>
        <w:t>‑</w:t>
      </w:r>
      <w:r>
        <w:rPr>
          <w:rFonts w:ascii="Arial" w:hAnsi="Arial" w:eastAsia="黑体" w:cs="Arial"/>
          <w:b/>
          <w:sz w:val="24"/>
          <w:szCs w:val="24"/>
        </w:rPr>
        <w:t>Digestibility Plant Protein</w:t>
      </w:r>
    </w:p>
    <w:p w14:paraId="089376DE">
      <w:pPr>
        <w:rPr>
          <w:rFonts w:ascii="Arial" w:hAnsi="Arial" w:cs="Arial"/>
        </w:rPr>
      </w:pPr>
      <w:r>
        <w:rPr>
          <w:rFonts w:ascii="Arial" w:hAnsi="Arial" w:cs="Arial"/>
        </w:rPr>
        <w:t>Deep aerobic fermentation with Saccharomyces cerevisiae achieves in vitro pre</w:t>
      </w:r>
      <w:r>
        <w:rPr>
          <w:rFonts w:ascii="Cambria Math" w:hAnsi="Cambria Math" w:cs="Cambria Math"/>
        </w:rPr>
        <w:t>‑</w:t>
      </w:r>
      <w:r>
        <w:rPr>
          <w:rFonts w:ascii="Arial" w:hAnsi="Arial" w:cs="Arial"/>
        </w:rPr>
        <w:t>digestion of protein, complemented by low</w:t>
      </w:r>
      <w:r>
        <w:rPr>
          <w:rFonts w:ascii="Cambria Math" w:hAnsi="Cambria Math" w:cs="Cambria Math"/>
        </w:rPr>
        <w:t>‑</w:t>
      </w:r>
      <w:r>
        <w:rPr>
          <w:rFonts w:ascii="Arial" w:hAnsi="Arial" w:cs="Arial"/>
        </w:rPr>
        <w:t>temperature drying to minimize Maillard reactions. The product contains crude protein ≥55%, pepsin digestibility ≥95%, and available digestible protein 50.16%. Undigested protein entering the hindgut is significantly reduced, thereby decreasing abnormal fermentation and the production of ammonia</w:t>
      </w:r>
      <w:r>
        <w:rPr>
          <w:rFonts w:ascii="Cambria Math" w:hAnsi="Cambria Math" w:cs="Cambria Math"/>
        </w:rPr>
        <w:t>‑</w:t>
      </w:r>
      <w:r>
        <w:rPr>
          <w:rFonts w:ascii="Arial" w:hAnsi="Arial" w:cs="Arial"/>
        </w:rPr>
        <w:t>like harmful substances. When used in aquafeeds, it also helps reduce protein discharge into water bodies.</w:t>
      </w:r>
    </w:p>
    <w:p w14:paraId="1C43D561">
      <w:pPr>
        <w:spacing w:before="190" w:after="80"/>
        <w:outlineLvl w:val="1"/>
        <w:rPr>
          <w:rFonts w:ascii="Arial" w:hAnsi="Arial" w:cs="Arial"/>
        </w:rPr>
      </w:pPr>
      <w:r>
        <w:rPr>
          <w:rFonts w:ascii="Arial" w:hAnsi="Arial" w:eastAsia="黑体" w:cs="Arial"/>
          <w:b/>
          <w:sz w:val="24"/>
          <w:szCs w:val="24"/>
        </w:rPr>
        <w:t>3.2 Dual Fermentation: Plant Protein + Functional Yeast Culture</w:t>
      </w:r>
    </w:p>
    <w:p w14:paraId="715D9C96">
      <w:pPr>
        <w:pStyle w:val="12"/>
        <w:widowControl/>
        <w:rPr>
          <w:rFonts w:ascii="Arial" w:hAnsi="Arial" w:cs="Arial"/>
          <w:sz w:val="22"/>
          <w:szCs w:val="20"/>
        </w:rPr>
      </w:pPr>
      <w:r>
        <w:rPr>
          <w:rFonts w:ascii="Arial" w:hAnsi="Arial" w:cs="Arial"/>
          <w:sz w:val="22"/>
          <w:szCs w:val="20"/>
        </w:rPr>
        <w:t>This is the fundamental difference from conventional fermented soybean meal. In addition to providing high</w:t>
      </w:r>
      <w:r>
        <w:rPr>
          <w:rFonts w:ascii="Cambria Math" w:hAnsi="Cambria Math" w:cs="Cambria Math"/>
          <w:sz w:val="22"/>
          <w:szCs w:val="20"/>
        </w:rPr>
        <w:t>‑</w:t>
      </w:r>
      <w:r>
        <w:rPr>
          <w:rFonts w:ascii="Arial" w:hAnsi="Arial" w:cs="Arial"/>
          <w:sz w:val="22"/>
          <w:szCs w:val="20"/>
        </w:rPr>
        <w:t>digestibility plant protein, the product is also enriched with active yeast cells, β</w:t>
      </w:r>
      <w:r>
        <w:rPr>
          <w:rFonts w:ascii="Cambria Math" w:hAnsi="Cambria Math" w:cs="Cambria Math"/>
          <w:sz w:val="22"/>
          <w:szCs w:val="20"/>
        </w:rPr>
        <w:t>‑</w:t>
      </w:r>
      <w:r>
        <w:rPr>
          <w:rFonts w:ascii="Arial" w:hAnsi="Arial" w:cs="Arial"/>
          <w:sz w:val="22"/>
          <w:szCs w:val="20"/>
        </w:rPr>
        <w:t>glucan, mannanoligosaccharides (MOS, mannan ≥0.20%), nucleotides, and small peptides. As a single ingredient, it simultaneously serves as both a "protein source" and a "functional additive," simplifying feed formulations and reducing overall costs.</w:t>
      </w:r>
    </w:p>
    <w:p w14:paraId="2F4D2918">
      <w:pPr>
        <w:spacing w:before="190" w:after="80"/>
        <w:outlineLvl w:val="1"/>
        <w:rPr>
          <w:rFonts w:ascii="Arial" w:hAnsi="Arial" w:cs="Arial"/>
        </w:rPr>
      </w:pPr>
      <w:r>
        <w:rPr>
          <w:rFonts w:ascii="Arial" w:hAnsi="Arial" w:eastAsia="黑体" w:cs="Arial"/>
          <w:b/>
          <w:sz w:val="24"/>
          <w:szCs w:val="24"/>
        </w:rPr>
        <w:t>3.3 Extremely Low Anti</w:t>
      </w:r>
      <w:r>
        <w:rPr>
          <w:rFonts w:ascii="Cambria Math" w:hAnsi="Cambria Math" w:eastAsia="黑体" w:cs="Cambria Math"/>
          <w:b/>
          <w:sz w:val="24"/>
          <w:szCs w:val="24"/>
        </w:rPr>
        <w:t>‑</w:t>
      </w:r>
      <w:r>
        <w:rPr>
          <w:rFonts w:ascii="Arial" w:hAnsi="Arial" w:eastAsia="黑体" w:cs="Arial"/>
          <w:b/>
          <w:sz w:val="24"/>
          <w:szCs w:val="24"/>
        </w:rPr>
        <w:t>Nutritional Factors</w:t>
      </w:r>
    </w:p>
    <w:p w14:paraId="3E2E4846">
      <w:pPr>
        <w:spacing w:after="100" w:line="300" w:lineRule="auto"/>
        <w:rPr>
          <w:rFonts w:ascii="Arial" w:hAnsi="Arial" w:cs="Arial"/>
        </w:rPr>
      </w:pPr>
      <w:r>
        <w:rPr>
          <w:rFonts w:ascii="Arial" w:hAnsi="Arial" w:cs="Arial"/>
        </w:rPr>
        <w:t>The application bottleneck of soybean meal</w:t>
      </w:r>
      <w:r>
        <w:rPr>
          <w:rFonts w:ascii="Cambria Math" w:hAnsi="Cambria Math" w:cs="Cambria Math"/>
        </w:rPr>
        <w:t>‑</w:t>
      </w:r>
      <w:r>
        <w:rPr>
          <w:rFonts w:ascii="Arial" w:hAnsi="Arial" w:cs="Arial"/>
        </w:rPr>
        <w:t>based ingredients lies in anti</w:t>
      </w:r>
      <w:r>
        <w:rPr>
          <w:rFonts w:ascii="Cambria Math" w:hAnsi="Cambria Math" w:cs="Cambria Math"/>
        </w:rPr>
        <w:t>‑</w:t>
      </w:r>
      <w:r>
        <w:rPr>
          <w:rFonts w:ascii="Arial" w:hAnsi="Arial" w:cs="Arial"/>
        </w:rPr>
        <w:t>nutritional factors. Through the combined action of enzymatic hydrolysis and fermentation, this product degrades oligosaccharides and antigenic proteins. Trypsin inhibitor and lectin have both been tested as "not detected" by third</w:t>
      </w:r>
      <w:r>
        <w:rPr>
          <w:rFonts w:ascii="Cambria Math" w:hAnsi="Cambria Math" w:cs="Cambria Math"/>
        </w:rPr>
        <w:t>‑</w:t>
      </w:r>
      <w:r>
        <w:rPr>
          <w:rFonts w:ascii="Arial" w:hAnsi="Arial" w:cs="Arial"/>
        </w:rPr>
        <w:t>party laboratories.</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4680"/>
        <w:gridCol w:w="4680"/>
      </w:tblGrid>
      <w:tr w14:paraId="7F89C00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468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0977502">
            <w:pPr>
              <w:spacing w:line="264" w:lineRule="auto"/>
              <w:jc w:val="left"/>
              <w:rPr>
                <w:rFonts w:ascii="Arial" w:hAnsi="Arial" w:cs="Arial"/>
              </w:rPr>
            </w:pPr>
            <w:r>
              <w:rPr>
                <w:rFonts w:ascii="Arial" w:hAnsi="Arial" w:cs="Arial"/>
                <w:b/>
                <w:sz w:val="20"/>
                <w:szCs w:val="20"/>
              </w:rPr>
              <w:t>Anti</w:t>
            </w:r>
            <w:r>
              <w:rPr>
                <w:rFonts w:ascii="Cambria Math" w:hAnsi="Cambria Math" w:cs="Cambria Math"/>
                <w:b/>
                <w:sz w:val="20"/>
                <w:szCs w:val="20"/>
              </w:rPr>
              <w:t>‑</w:t>
            </w:r>
            <w:r>
              <w:rPr>
                <w:rFonts w:ascii="Arial" w:hAnsi="Arial" w:cs="Arial"/>
                <w:b/>
                <w:sz w:val="20"/>
                <w:szCs w:val="20"/>
              </w:rPr>
              <w:t>Nutritional Factor</w:t>
            </w:r>
          </w:p>
        </w:tc>
        <w:tc>
          <w:tcPr>
            <w:tcW w:w="468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D707D75">
            <w:pPr>
              <w:spacing w:line="264" w:lineRule="auto"/>
              <w:jc w:val="center"/>
              <w:rPr>
                <w:rFonts w:ascii="Arial" w:hAnsi="Arial" w:cs="Arial"/>
              </w:rPr>
            </w:pPr>
            <w:r>
              <w:rPr>
                <w:rFonts w:ascii="Arial" w:hAnsi="Arial" w:cs="Arial"/>
                <w:b/>
                <w:sz w:val="20"/>
                <w:szCs w:val="20"/>
              </w:rPr>
              <w:t>Indicator</w:t>
            </w:r>
          </w:p>
        </w:tc>
      </w:tr>
      <w:tr w14:paraId="4242859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680" w:type="dxa"/>
            <w:tcBorders>
              <w:top w:val="nil"/>
              <w:left w:val="nil"/>
              <w:bottom w:val="nil"/>
              <w:right w:val="nil"/>
            </w:tcBorders>
            <w:tcMar>
              <w:top w:w="55" w:type="dxa"/>
              <w:left w:w="90" w:type="dxa"/>
              <w:bottom w:w="55" w:type="dxa"/>
              <w:right w:w="90" w:type="dxa"/>
            </w:tcMar>
            <w:vAlign w:val="center"/>
          </w:tcPr>
          <w:p w14:paraId="6298B42B">
            <w:pPr>
              <w:spacing w:line="264" w:lineRule="auto"/>
              <w:jc w:val="left"/>
              <w:rPr>
                <w:rFonts w:ascii="Arial" w:hAnsi="Arial" w:cs="Arial"/>
              </w:rPr>
            </w:pPr>
            <w:r>
              <w:rPr>
                <w:rFonts w:ascii="Arial" w:hAnsi="Arial" w:cs="Arial"/>
                <w:sz w:val="19"/>
                <w:szCs w:val="19"/>
              </w:rPr>
              <w:t>Trypsin inhibitor (mg/g)</w:t>
            </w:r>
          </w:p>
        </w:tc>
        <w:tc>
          <w:tcPr>
            <w:tcW w:w="4680" w:type="dxa"/>
            <w:tcBorders>
              <w:top w:val="nil"/>
              <w:left w:val="nil"/>
              <w:bottom w:val="nil"/>
              <w:right w:val="nil"/>
            </w:tcBorders>
            <w:tcMar>
              <w:top w:w="55" w:type="dxa"/>
              <w:left w:w="90" w:type="dxa"/>
              <w:bottom w:w="55" w:type="dxa"/>
              <w:right w:w="90" w:type="dxa"/>
            </w:tcMar>
            <w:vAlign w:val="center"/>
          </w:tcPr>
          <w:p w14:paraId="1744B78E">
            <w:pPr>
              <w:spacing w:line="264" w:lineRule="auto"/>
              <w:jc w:val="center"/>
              <w:rPr>
                <w:rFonts w:ascii="Arial" w:hAnsi="Arial" w:cs="Arial"/>
              </w:rPr>
            </w:pPr>
            <w:r>
              <w:rPr>
                <w:rFonts w:ascii="Arial" w:hAnsi="Arial" w:cs="Arial"/>
                <w:sz w:val="19"/>
                <w:szCs w:val="19"/>
              </w:rPr>
              <w:t>Not detected</w:t>
            </w:r>
          </w:p>
        </w:tc>
      </w:tr>
      <w:tr w14:paraId="479AE3E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680" w:type="dxa"/>
            <w:tcBorders>
              <w:top w:val="nil"/>
              <w:left w:val="nil"/>
              <w:bottom w:val="nil"/>
              <w:right w:val="nil"/>
            </w:tcBorders>
            <w:tcMar>
              <w:top w:w="55" w:type="dxa"/>
              <w:left w:w="90" w:type="dxa"/>
              <w:bottom w:w="55" w:type="dxa"/>
              <w:right w:w="90" w:type="dxa"/>
            </w:tcMar>
            <w:vAlign w:val="center"/>
          </w:tcPr>
          <w:p w14:paraId="0D0B1AB8">
            <w:pPr>
              <w:spacing w:line="264" w:lineRule="auto"/>
              <w:jc w:val="left"/>
              <w:rPr>
                <w:rFonts w:ascii="Arial" w:hAnsi="Arial" w:cs="Arial"/>
              </w:rPr>
            </w:pPr>
            <w:r>
              <w:rPr>
                <w:rFonts w:ascii="Arial" w:hAnsi="Arial" w:cs="Arial"/>
                <w:sz w:val="19"/>
                <w:szCs w:val="19"/>
              </w:rPr>
              <w:t>Lectin (ppm)</w:t>
            </w:r>
          </w:p>
        </w:tc>
        <w:tc>
          <w:tcPr>
            <w:tcW w:w="4680" w:type="dxa"/>
            <w:tcBorders>
              <w:top w:val="nil"/>
              <w:left w:val="nil"/>
              <w:bottom w:val="nil"/>
              <w:right w:val="nil"/>
            </w:tcBorders>
            <w:tcMar>
              <w:top w:w="55" w:type="dxa"/>
              <w:left w:w="90" w:type="dxa"/>
              <w:bottom w:w="55" w:type="dxa"/>
              <w:right w:w="90" w:type="dxa"/>
            </w:tcMar>
            <w:vAlign w:val="center"/>
          </w:tcPr>
          <w:p w14:paraId="7E0CAECD">
            <w:pPr>
              <w:spacing w:line="264" w:lineRule="auto"/>
              <w:jc w:val="center"/>
              <w:rPr>
                <w:rFonts w:ascii="Arial" w:hAnsi="Arial" w:cs="Arial"/>
              </w:rPr>
            </w:pPr>
            <w:r>
              <w:rPr>
                <w:rFonts w:ascii="Arial" w:hAnsi="Arial" w:cs="Arial"/>
                <w:sz w:val="19"/>
                <w:szCs w:val="19"/>
              </w:rPr>
              <w:t>Not detected</w:t>
            </w:r>
          </w:p>
        </w:tc>
      </w:tr>
      <w:tr w14:paraId="2E9B59A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680" w:type="dxa"/>
            <w:tcBorders>
              <w:top w:val="nil"/>
              <w:left w:val="nil"/>
              <w:bottom w:val="nil"/>
              <w:right w:val="nil"/>
            </w:tcBorders>
            <w:tcMar>
              <w:top w:w="55" w:type="dxa"/>
              <w:left w:w="90" w:type="dxa"/>
              <w:bottom w:w="55" w:type="dxa"/>
              <w:right w:w="90" w:type="dxa"/>
            </w:tcMar>
            <w:vAlign w:val="center"/>
          </w:tcPr>
          <w:p w14:paraId="1C254738">
            <w:pPr>
              <w:spacing w:line="264" w:lineRule="auto"/>
              <w:jc w:val="left"/>
              <w:rPr>
                <w:rFonts w:ascii="Arial" w:hAnsi="Arial" w:cs="Arial"/>
              </w:rPr>
            </w:pPr>
            <w:r>
              <w:rPr>
                <w:rFonts w:ascii="Arial" w:hAnsi="Arial" w:cs="Arial"/>
                <w:sz w:val="19"/>
                <w:szCs w:val="19"/>
              </w:rPr>
              <w:t>Stachyose + Raffinose + Sucrose (%)</w:t>
            </w:r>
          </w:p>
        </w:tc>
        <w:tc>
          <w:tcPr>
            <w:tcW w:w="4680" w:type="dxa"/>
            <w:tcBorders>
              <w:top w:val="nil"/>
              <w:left w:val="nil"/>
              <w:bottom w:val="nil"/>
              <w:right w:val="nil"/>
            </w:tcBorders>
            <w:tcMar>
              <w:top w:w="55" w:type="dxa"/>
              <w:left w:w="90" w:type="dxa"/>
              <w:bottom w:w="55" w:type="dxa"/>
              <w:right w:w="90" w:type="dxa"/>
            </w:tcMar>
            <w:vAlign w:val="center"/>
          </w:tcPr>
          <w:p w14:paraId="5D29FB52">
            <w:pPr>
              <w:spacing w:line="264" w:lineRule="auto"/>
              <w:jc w:val="center"/>
              <w:rPr>
                <w:rFonts w:ascii="Arial" w:hAnsi="Arial" w:cs="Arial"/>
              </w:rPr>
            </w:pPr>
            <w:r>
              <w:rPr>
                <w:rFonts w:ascii="Arial" w:hAnsi="Arial" w:cs="Arial"/>
                <w:sz w:val="19"/>
                <w:szCs w:val="19"/>
              </w:rPr>
              <w:t>&lt; 0.50</w:t>
            </w:r>
          </w:p>
        </w:tc>
      </w:tr>
      <w:tr w14:paraId="747C13C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680" w:type="dxa"/>
            <w:tcBorders>
              <w:top w:val="nil"/>
              <w:left w:val="nil"/>
              <w:bottom w:val="single" w:color="000000" w:sz="12" w:space="0"/>
              <w:right w:val="nil"/>
            </w:tcBorders>
            <w:tcMar>
              <w:top w:w="55" w:type="dxa"/>
              <w:left w:w="90" w:type="dxa"/>
              <w:bottom w:w="55" w:type="dxa"/>
              <w:right w:w="90" w:type="dxa"/>
            </w:tcMar>
            <w:vAlign w:val="center"/>
          </w:tcPr>
          <w:p w14:paraId="18CBF002">
            <w:pPr>
              <w:spacing w:line="264" w:lineRule="auto"/>
              <w:jc w:val="left"/>
              <w:rPr>
                <w:rFonts w:ascii="Arial" w:hAnsi="Arial" w:cs="Arial"/>
              </w:rPr>
            </w:pPr>
            <w:r>
              <w:rPr>
                <w:rFonts w:ascii="Arial" w:hAnsi="Arial" w:cs="Arial"/>
                <w:sz w:val="19"/>
                <w:szCs w:val="19"/>
              </w:rPr>
              <w:t>β</w:t>
            </w:r>
            <w:r>
              <w:rPr>
                <w:rFonts w:ascii="Cambria Math" w:hAnsi="Cambria Math" w:cs="Cambria Math"/>
                <w:sz w:val="19"/>
                <w:szCs w:val="19"/>
              </w:rPr>
              <w:t>‑</w:t>
            </w:r>
            <w:r>
              <w:rPr>
                <w:rFonts w:ascii="Arial" w:hAnsi="Arial" w:cs="Arial"/>
                <w:sz w:val="19"/>
                <w:szCs w:val="19"/>
              </w:rPr>
              <w:t>Conglycinin + Glycinin (%)</w:t>
            </w:r>
          </w:p>
        </w:tc>
        <w:tc>
          <w:tcPr>
            <w:tcW w:w="4680" w:type="dxa"/>
            <w:tcBorders>
              <w:top w:val="nil"/>
              <w:left w:val="nil"/>
              <w:bottom w:val="single" w:color="000000" w:sz="12" w:space="0"/>
              <w:right w:val="nil"/>
            </w:tcBorders>
            <w:tcMar>
              <w:top w:w="55" w:type="dxa"/>
              <w:left w:w="90" w:type="dxa"/>
              <w:bottom w:w="55" w:type="dxa"/>
              <w:right w:w="90" w:type="dxa"/>
            </w:tcMar>
            <w:vAlign w:val="center"/>
          </w:tcPr>
          <w:p w14:paraId="62C32C01">
            <w:pPr>
              <w:spacing w:line="264" w:lineRule="auto"/>
              <w:jc w:val="center"/>
              <w:rPr>
                <w:rFonts w:ascii="Arial" w:hAnsi="Arial" w:cs="Arial"/>
              </w:rPr>
            </w:pPr>
            <w:r>
              <w:rPr>
                <w:rFonts w:ascii="Arial" w:hAnsi="Arial" w:cs="Arial"/>
                <w:sz w:val="19"/>
                <w:szCs w:val="19"/>
              </w:rPr>
              <w:t>≤ 2</w:t>
            </w:r>
          </w:p>
        </w:tc>
      </w:tr>
    </w:tbl>
    <w:p w14:paraId="57109FD3">
      <w:pPr>
        <w:spacing w:after="100" w:line="300" w:lineRule="auto"/>
        <w:rPr>
          <w:rFonts w:ascii="Arial" w:hAnsi="Arial" w:cs="Arial"/>
        </w:rPr>
      </w:pPr>
      <w:r>
        <w:rPr>
          <w:rFonts w:ascii="Arial" w:hAnsi="Arial" w:cs="Arial"/>
        </w:rPr>
        <w:t>The reduction of anti</w:t>
      </w:r>
      <w:r>
        <w:rPr>
          <w:rFonts w:ascii="Cambria Math" w:hAnsi="Cambria Math" w:cs="Cambria Math"/>
        </w:rPr>
        <w:t>‑</w:t>
      </w:r>
      <w:r>
        <w:rPr>
          <w:rFonts w:ascii="Arial" w:hAnsi="Arial" w:cs="Arial"/>
        </w:rPr>
        <w:t>nutritional factors directly improves palatability and reduces the risk of allergic diarrhea in young animals, which is a prerequisite for increasing feed intake.</w:t>
      </w:r>
    </w:p>
    <w:p w14:paraId="33D04156">
      <w:pPr>
        <w:spacing w:before="190" w:after="80"/>
        <w:outlineLvl w:val="1"/>
        <w:rPr>
          <w:rFonts w:ascii="Arial" w:hAnsi="Arial" w:cs="Arial"/>
        </w:rPr>
      </w:pPr>
      <w:r>
        <w:rPr>
          <w:rFonts w:ascii="Arial" w:hAnsi="Arial" w:eastAsia="黑体" w:cs="Arial"/>
          <w:b/>
          <w:sz w:val="24"/>
          <w:szCs w:val="24"/>
        </w:rPr>
        <w:t>3.4 Animal</w:t>
      </w:r>
      <w:r>
        <w:rPr>
          <w:rFonts w:ascii="Cambria Math" w:hAnsi="Cambria Math" w:eastAsia="黑体" w:cs="Cambria Math"/>
          <w:b/>
          <w:sz w:val="24"/>
          <w:szCs w:val="24"/>
        </w:rPr>
        <w:t>‑</w:t>
      </w:r>
      <w:r>
        <w:rPr>
          <w:rFonts w:ascii="Arial" w:hAnsi="Arial" w:eastAsia="黑体" w:cs="Arial"/>
          <w:b/>
          <w:sz w:val="24"/>
          <w:szCs w:val="24"/>
        </w:rPr>
        <w:t>Like Protein Structure with Excellent Digestive Properties</w:t>
      </w:r>
    </w:p>
    <w:p w14:paraId="5767585B">
      <w:pPr>
        <w:rPr>
          <w:rFonts w:ascii="Arial" w:hAnsi="Arial" w:cs="Arial"/>
        </w:rPr>
      </w:pPr>
      <w:r>
        <w:rPr>
          <w:rFonts w:ascii="Arial" w:hAnsi="Arial" w:cs="Arial"/>
        </w:rPr>
        <w:t>Through extrusion puffing, the globular soybean protein is modified into a loose fibrous structure, featuring good water</w:t>
      </w:r>
      <w:r>
        <w:rPr>
          <w:rFonts w:ascii="Cambria Math" w:hAnsi="Cambria Math" w:cs="Cambria Math"/>
        </w:rPr>
        <w:t>‑</w:t>
      </w:r>
      <w:r>
        <w:rPr>
          <w:rFonts w:ascii="Arial" w:hAnsi="Arial" w:cs="Arial"/>
        </w:rPr>
        <w:t>holding capacity and abundant enzyme</w:t>
      </w:r>
      <w:r>
        <w:rPr>
          <w:rFonts w:ascii="Cambria Math" w:hAnsi="Cambria Math" w:cs="Cambria Math"/>
        </w:rPr>
        <w:t>‑</w:t>
      </w:r>
      <w:r>
        <w:rPr>
          <w:rFonts w:ascii="Arial" w:hAnsi="Arial" w:cs="Arial"/>
        </w:rPr>
        <w:t>binding sites. Digestion and absorption rates tend to be synchronized, resulting in a more stable amino acid metabolic pool. The physical morphology of the digesta is improved, reducing mechanical damage to the intestinal mucosa.</w:t>
      </w:r>
    </w:p>
    <w:p w14:paraId="32B58C47">
      <w:pPr>
        <w:spacing w:before="190" w:after="80"/>
        <w:outlineLvl w:val="1"/>
        <w:rPr>
          <w:rFonts w:ascii="Arial" w:hAnsi="Arial" w:cs="Arial"/>
        </w:rPr>
      </w:pPr>
      <w:r>
        <w:rPr>
          <w:rFonts w:ascii="Arial" w:hAnsi="Arial" w:eastAsia="黑体" w:cs="Arial"/>
          <w:b/>
          <w:sz w:val="24"/>
          <w:szCs w:val="24"/>
        </w:rPr>
        <w:t>3.5 Improved Gut Health and Immune Function</w:t>
      </w:r>
    </w:p>
    <w:p w14:paraId="79D344E0">
      <w:pPr>
        <w:spacing w:after="100" w:line="300" w:lineRule="auto"/>
        <w:rPr>
          <w:rFonts w:ascii="Arial" w:hAnsi="Arial" w:cs="Arial"/>
        </w:rPr>
      </w:pPr>
      <w:r>
        <w:rPr>
          <w:rFonts w:ascii="Arial" w:hAnsi="Arial" w:cs="Arial"/>
        </w:rPr>
        <w:t>β</w:t>
      </w:r>
      <w:r>
        <w:rPr>
          <w:rFonts w:ascii="Cambria Math" w:hAnsi="Cambria Math" w:cs="Cambria Math"/>
        </w:rPr>
        <w:t>‑</w:t>
      </w:r>
      <w:r>
        <w:rPr>
          <w:rFonts w:ascii="Arial" w:hAnsi="Arial" w:cs="Arial"/>
        </w:rPr>
        <w:t>Glucan stimulates the reticuloendothelial system and enhances the activity of macrophages; MOS interferes with the colonization of pathogenic bacteria; nucleotides and small peptides participate in intestinal development and repair. The benefits are reflected in improved villus development, enhanced mucosal integrity, proliferation of beneficial bacteria, reduced diarrhea incidence, increased survival rates, and alleviation of stress from weaning, pond transfer, and transportation. This product is particularly suitable for antibiotic</w:t>
      </w:r>
      <w:r>
        <w:rPr>
          <w:rFonts w:ascii="Cambria Math" w:hAnsi="Cambria Math" w:cs="Cambria Math"/>
        </w:rPr>
        <w:t>‑</w:t>
      </w:r>
      <w:r>
        <w:rPr>
          <w:rFonts w:ascii="Arial" w:hAnsi="Arial" w:cs="Arial"/>
        </w:rPr>
        <w:t>free farming.</w:t>
      </w:r>
    </w:p>
    <w:p w14:paraId="39063159">
      <w:pPr>
        <w:spacing w:before="190" w:after="80"/>
        <w:outlineLvl w:val="1"/>
        <w:rPr>
          <w:rFonts w:ascii="Arial" w:hAnsi="Arial" w:cs="Arial"/>
        </w:rPr>
      </w:pPr>
      <w:r>
        <w:rPr>
          <w:rFonts w:ascii="Arial" w:hAnsi="Arial" w:eastAsia="黑体" w:cs="Arial"/>
          <w:b/>
          <w:sz w:val="24"/>
          <w:szCs w:val="24"/>
        </w:rPr>
        <w:t>3.6 Reduced Formula Cost and Stable Supply</w:t>
      </w:r>
    </w:p>
    <w:p w14:paraId="3D9FF36E">
      <w:pPr>
        <w:spacing w:after="100" w:line="300" w:lineRule="auto"/>
        <w:rPr>
          <w:rFonts w:ascii="Arial" w:hAnsi="Arial" w:cs="Arial"/>
        </w:rPr>
      </w:pPr>
      <w:r>
        <w:rPr>
          <w:rFonts w:ascii="Arial" w:hAnsi="Arial" w:cs="Arial"/>
        </w:rPr>
        <w:t xml:space="preserve">It can partially replace fishmeal, yeast hydrolysate, and </w:t>
      </w:r>
      <w:r>
        <w:rPr>
          <w:rFonts w:hint="eastAsia" w:ascii="Arial" w:hAnsi="Arial" w:cs="Arial"/>
          <w:lang w:eastAsia="zh-CN"/>
        </w:rPr>
        <w:t>premium</w:t>
      </w:r>
      <w:r>
        <w:rPr>
          <w:rFonts w:ascii="Arial" w:hAnsi="Arial" w:cs="Arial"/>
        </w:rPr>
        <w:t xml:space="preserve"> fermented plant proteins, reducing formula costs while maintaining production performance. As a domestically produced product with full supply chain control, it offers stable supply, short lead times, and complete traceability throughout the entire production process.</w:t>
      </w:r>
    </w:p>
    <w:p w14:paraId="3C4AA378">
      <w:pPr>
        <w:spacing w:before="320" w:after="150"/>
        <w:outlineLvl w:val="0"/>
        <w:rPr>
          <w:rFonts w:ascii="Arial" w:hAnsi="Arial" w:cs="Arial"/>
        </w:rPr>
      </w:pPr>
      <w:r>
        <w:rPr>
          <w:rFonts w:ascii="Arial" w:hAnsi="Arial" w:eastAsia="黑体" w:cs="Arial"/>
          <w:b/>
          <w:sz w:val="32"/>
          <w:szCs w:val="32"/>
        </w:rPr>
        <w:t>IV. Product Specifications</w:t>
      </w:r>
    </w:p>
    <w:p w14:paraId="166E0AA3">
      <w:pPr>
        <w:spacing w:before="190" w:after="80"/>
        <w:outlineLvl w:val="1"/>
        <w:rPr>
          <w:rFonts w:ascii="Arial" w:hAnsi="Arial" w:cs="Arial"/>
        </w:rPr>
      </w:pPr>
      <w:r>
        <w:rPr>
          <w:rFonts w:ascii="Arial" w:hAnsi="Arial" w:eastAsia="黑体" w:cs="Arial"/>
          <w:b/>
          <w:sz w:val="24"/>
          <w:szCs w:val="24"/>
        </w:rPr>
        <w:t>4.1 Routine Parameters</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600"/>
        <w:gridCol w:w="2080"/>
        <w:gridCol w:w="2600"/>
        <w:gridCol w:w="2080"/>
      </w:tblGrid>
      <w:tr w14:paraId="4B3AB60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6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69AD31A">
            <w:pPr>
              <w:spacing w:line="264" w:lineRule="auto"/>
              <w:jc w:val="left"/>
              <w:rPr>
                <w:rFonts w:ascii="Arial" w:hAnsi="Arial" w:cs="Arial"/>
              </w:rPr>
            </w:pPr>
            <w:r>
              <w:rPr>
                <w:rFonts w:ascii="Arial" w:hAnsi="Arial" w:cs="Arial"/>
                <w:b/>
                <w:sz w:val="20"/>
                <w:szCs w:val="20"/>
              </w:rPr>
              <w:t>Item</w:t>
            </w:r>
          </w:p>
        </w:tc>
        <w:tc>
          <w:tcPr>
            <w:tcW w:w="208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4CA155A6">
            <w:pPr>
              <w:spacing w:line="264" w:lineRule="auto"/>
              <w:jc w:val="center"/>
              <w:rPr>
                <w:rFonts w:ascii="Arial" w:hAnsi="Arial" w:cs="Arial"/>
              </w:rPr>
            </w:pPr>
            <w:r>
              <w:rPr>
                <w:rFonts w:ascii="Arial" w:hAnsi="Arial" w:cs="Arial"/>
                <w:b/>
                <w:sz w:val="20"/>
                <w:szCs w:val="20"/>
              </w:rPr>
              <w:t>Indicator</w:t>
            </w:r>
          </w:p>
        </w:tc>
        <w:tc>
          <w:tcPr>
            <w:tcW w:w="26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645FACE6">
            <w:pPr>
              <w:spacing w:line="264" w:lineRule="auto"/>
              <w:jc w:val="left"/>
              <w:rPr>
                <w:rFonts w:ascii="Arial" w:hAnsi="Arial" w:cs="Arial"/>
              </w:rPr>
            </w:pPr>
            <w:r>
              <w:rPr>
                <w:rFonts w:ascii="Arial" w:hAnsi="Arial" w:cs="Arial"/>
                <w:b/>
                <w:sz w:val="20"/>
                <w:szCs w:val="20"/>
              </w:rPr>
              <w:t>Item</w:t>
            </w:r>
          </w:p>
        </w:tc>
        <w:tc>
          <w:tcPr>
            <w:tcW w:w="208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4578ED77">
            <w:pPr>
              <w:spacing w:line="264" w:lineRule="auto"/>
              <w:jc w:val="center"/>
              <w:rPr>
                <w:rFonts w:ascii="Arial" w:hAnsi="Arial" w:cs="Arial"/>
              </w:rPr>
            </w:pPr>
            <w:r>
              <w:rPr>
                <w:rFonts w:ascii="Arial" w:hAnsi="Arial" w:cs="Arial"/>
                <w:b/>
                <w:sz w:val="20"/>
                <w:szCs w:val="20"/>
              </w:rPr>
              <w:t>Indicator</w:t>
            </w:r>
          </w:p>
        </w:tc>
      </w:tr>
      <w:tr w14:paraId="13AB693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26656B61">
            <w:pPr>
              <w:spacing w:line="264" w:lineRule="auto"/>
              <w:jc w:val="left"/>
              <w:rPr>
                <w:rFonts w:ascii="Arial" w:hAnsi="Arial" w:cs="Arial"/>
              </w:rPr>
            </w:pPr>
            <w:r>
              <w:rPr>
                <w:rFonts w:ascii="Arial" w:hAnsi="Arial" w:cs="Arial"/>
                <w:sz w:val="19"/>
                <w:szCs w:val="19"/>
              </w:rPr>
              <w:t>Crude protein, %</w:t>
            </w:r>
          </w:p>
        </w:tc>
        <w:tc>
          <w:tcPr>
            <w:tcW w:w="2080" w:type="dxa"/>
            <w:tcBorders>
              <w:top w:val="nil"/>
              <w:left w:val="nil"/>
              <w:bottom w:val="nil"/>
              <w:right w:val="nil"/>
            </w:tcBorders>
            <w:tcMar>
              <w:top w:w="55" w:type="dxa"/>
              <w:left w:w="90" w:type="dxa"/>
              <w:bottom w:w="55" w:type="dxa"/>
              <w:right w:w="90" w:type="dxa"/>
            </w:tcMar>
            <w:vAlign w:val="center"/>
          </w:tcPr>
          <w:p w14:paraId="1BD53D5C">
            <w:pPr>
              <w:spacing w:line="264" w:lineRule="auto"/>
              <w:jc w:val="center"/>
              <w:rPr>
                <w:rFonts w:ascii="Arial" w:hAnsi="Arial" w:cs="Arial"/>
              </w:rPr>
            </w:pPr>
            <w:r>
              <w:rPr>
                <w:rFonts w:ascii="Arial" w:hAnsi="Arial" w:cs="Arial"/>
                <w:sz w:val="19"/>
                <w:szCs w:val="19"/>
              </w:rPr>
              <w:t>≥55.00</w:t>
            </w:r>
          </w:p>
        </w:tc>
        <w:tc>
          <w:tcPr>
            <w:tcW w:w="2600" w:type="dxa"/>
            <w:tcBorders>
              <w:top w:val="nil"/>
              <w:left w:val="nil"/>
              <w:bottom w:val="nil"/>
              <w:right w:val="nil"/>
            </w:tcBorders>
            <w:tcMar>
              <w:top w:w="55" w:type="dxa"/>
              <w:left w:w="90" w:type="dxa"/>
              <w:bottom w:w="55" w:type="dxa"/>
              <w:right w:w="90" w:type="dxa"/>
            </w:tcMar>
            <w:vAlign w:val="center"/>
          </w:tcPr>
          <w:p w14:paraId="5E9FB315">
            <w:pPr>
              <w:spacing w:line="264" w:lineRule="auto"/>
              <w:jc w:val="left"/>
              <w:rPr>
                <w:rFonts w:ascii="Arial" w:hAnsi="Arial" w:cs="Arial"/>
              </w:rPr>
            </w:pPr>
            <w:r>
              <w:rPr>
                <w:rFonts w:ascii="Arial" w:hAnsi="Arial" w:cs="Arial"/>
                <w:sz w:val="19"/>
                <w:szCs w:val="19"/>
              </w:rPr>
              <w:t>Stachyose + raffinose + sucrose, %</w:t>
            </w:r>
          </w:p>
        </w:tc>
        <w:tc>
          <w:tcPr>
            <w:tcW w:w="2080" w:type="dxa"/>
            <w:tcBorders>
              <w:top w:val="nil"/>
              <w:left w:val="nil"/>
              <w:bottom w:val="nil"/>
              <w:right w:val="nil"/>
            </w:tcBorders>
            <w:tcMar>
              <w:top w:w="55" w:type="dxa"/>
              <w:left w:w="90" w:type="dxa"/>
              <w:bottom w:w="55" w:type="dxa"/>
              <w:right w:w="90" w:type="dxa"/>
            </w:tcMar>
            <w:vAlign w:val="center"/>
          </w:tcPr>
          <w:p w14:paraId="2FA62377">
            <w:pPr>
              <w:spacing w:line="264" w:lineRule="auto"/>
              <w:jc w:val="center"/>
              <w:rPr>
                <w:rFonts w:ascii="Arial" w:hAnsi="Arial" w:cs="Arial"/>
              </w:rPr>
            </w:pPr>
            <w:r>
              <w:rPr>
                <w:rFonts w:ascii="Arial" w:hAnsi="Arial" w:cs="Arial"/>
                <w:sz w:val="19"/>
                <w:szCs w:val="19"/>
              </w:rPr>
              <w:t>&lt; 0.50</w:t>
            </w:r>
          </w:p>
        </w:tc>
      </w:tr>
      <w:tr w14:paraId="4501A5B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31F04CC8">
            <w:pPr>
              <w:spacing w:line="264" w:lineRule="auto"/>
              <w:jc w:val="left"/>
              <w:rPr>
                <w:rFonts w:ascii="Arial" w:hAnsi="Arial" w:cs="Arial"/>
              </w:rPr>
            </w:pPr>
            <w:r>
              <w:rPr>
                <w:rFonts w:ascii="Arial" w:hAnsi="Arial" w:cs="Arial"/>
                <w:sz w:val="19"/>
                <w:szCs w:val="19"/>
              </w:rPr>
              <w:t>Moisture, %</w:t>
            </w:r>
          </w:p>
        </w:tc>
        <w:tc>
          <w:tcPr>
            <w:tcW w:w="2080" w:type="dxa"/>
            <w:tcBorders>
              <w:top w:val="nil"/>
              <w:left w:val="nil"/>
              <w:bottom w:val="nil"/>
              <w:right w:val="nil"/>
            </w:tcBorders>
            <w:tcMar>
              <w:top w:w="55" w:type="dxa"/>
              <w:left w:w="90" w:type="dxa"/>
              <w:bottom w:w="55" w:type="dxa"/>
              <w:right w:w="90" w:type="dxa"/>
            </w:tcMar>
            <w:vAlign w:val="center"/>
          </w:tcPr>
          <w:p w14:paraId="6ABE5A6A">
            <w:pPr>
              <w:spacing w:line="264" w:lineRule="auto"/>
              <w:jc w:val="center"/>
              <w:rPr>
                <w:rFonts w:ascii="Arial" w:hAnsi="Arial" w:cs="Arial"/>
              </w:rPr>
            </w:pPr>
            <w:r>
              <w:rPr>
                <w:rFonts w:ascii="Arial" w:hAnsi="Arial" w:cs="Arial"/>
                <w:sz w:val="19"/>
                <w:szCs w:val="19"/>
              </w:rPr>
              <w:t>≤12.00</w:t>
            </w:r>
          </w:p>
        </w:tc>
        <w:tc>
          <w:tcPr>
            <w:tcW w:w="2600" w:type="dxa"/>
            <w:tcBorders>
              <w:top w:val="nil"/>
              <w:left w:val="nil"/>
              <w:bottom w:val="nil"/>
              <w:right w:val="nil"/>
            </w:tcBorders>
            <w:tcMar>
              <w:top w:w="55" w:type="dxa"/>
              <w:left w:w="90" w:type="dxa"/>
              <w:bottom w:w="55" w:type="dxa"/>
              <w:right w:w="90" w:type="dxa"/>
            </w:tcMar>
            <w:vAlign w:val="center"/>
          </w:tcPr>
          <w:p w14:paraId="239F7278">
            <w:pPr>
              <w:spacing w:line="264" w:lineRule="auto"/>
              <w:jc w:val="left"/>
              <w:rPr>
                <w:rFonts w:ascii="Arial" w:hAnsi="Arial" w:cs="Arial"/>
              </w:rPr>
            </w:pPr>
            <w:r>
              <w:rPr>
                <w:rFonts w:ascii="Arial" w:hAnsi="Arial" w:cs="Arial"/>
                <w:sz w:val="19"/>
                <w:szCs w:val="19"/>
              </w:rPr>
              <w:t>β</w:t>
            </w:r>
            <w:r>
              <w:rPr>
                <w:rFonts w:ascii="Cambria Math" w:hAnsi="Cambria Math" w:cs="Cambria Math"/>
                <w:sz w:val="19"/>
                <w:szCs w:val="19"/>
              </w:rPr>
              <w:t>‑</w:t>
            </w:r>
            <w:r>
              <w:rPr>
                <w:rFonts w:ascii="Arial" w:hAnsi="Arial" w:cs="Arial"/>
                <w:sz w:val="19"/>
                <w:szCs w:val="19"/>
              </w:rPr>
              <w:t>Conglycinin + Glycinin, %</w:t>
            </w:r>
          </w:p>
        </w:tc>
        <w:tc>
          <w:tcPr>
            <w:tcW w:w="2080" w:type="dxa"/>
            <w:tcBorders>
              <w:top w:val="nil"/>
              <w:left w:val="nil"/>
              <w:bottom w:val="nil"/>
              <w:right w:val="nil"/>
            </w:tcBorders>
            <w:tcMar>
              <w:top w:w="55" w:type="dxa"/>
              <w:left w:w="90" w:type="dxa"/>
              <w:bottom w:w="55" w:type="dxa"/>
              <w:right w:w="90" w:type="dxa"/>
            </w:tcMar>
            <w:vAlign w:val="center"/>
          </w:tcPr>
          <w:p w14:paraId="36F736E4">
            <w:pPr>
              <w:spacing w:line="264" w:lineRule="auto"/>
              <w:jc w:val="center"/>
              <w:rPr>
                <w:rFonts w:ascii="Arial" w:hAnsi="Arial" w:cs="Arial"/>
              </w:rPr>
            </w:pPr>
            <w:r>
              <w:rPr>
                <w:rFonts w:ascii="Arial" w:hAnsi="Arial" w:cs="Arial"/>
                <w:sz w:val="19"/>
                <w:szCs w:val="19"/>
              </w:rPr>
              <w:t>≤ 2</w:t>
            </w:r>
          </w:p>
        </w:tc>
      </w:tr>
      <w:tr w14:paraId="637CAC4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6B40267D">
            <w:pPr>
              <w:spacing w:line="264" w:lineRule="auto"/>
              <w:jc w:val="left"/>
              <w:rPr>
                <w:rFonts w:ascii="Arial" w:hAnsi="Arial" w:cs="Arial"/>
              </w:rPr>
            </w:pPr>
            <w:r>
              <w:rPr>
                <w:rFonts w:ascii="Arial" w:hAnsi="Arial" w:cs="Arial"/>
                <w:sz w:val="19"/>
                <w:szCs w:val="19"/>
              </w:rPr>
              <w:t>Crude ash, %</w:t>
            </w:r>
          </w:p>
        </w:tc>
        <w:tc>
          <w:tcPr>
            <w:tcW w:w="2080" w:type="dxa"/>
            <w:tcBorders>
              <w:top w:val="nil"/>
              <w:left w:val="nil"/>
              <w:bottom w:val="nil"/>
              <w:right w:val="nil"/>
            </w:tcBorders>
            <w:tcMar>
              <w:top w:w="55" w:type="dxa"/>
              <w:left w:w="90" w:type="dxa"/>
              <w:bottom w:w="55" w:type="dxa"/>
              <w:right w:w="90" w:type="dxa"/>
            </w:tcMar>
            <w:vAlign w:val="center"/>
          </w:tcPr>
          <w:p w14:paraId="171179A8">
            <w:pPr>
              <w:spacing w:line="264" w:lineRule="auto"/>
              <w:jc w:val="center"/>
              <w:rPr>
                <w:rFonts w:ascii="Arial" w:hAnsi="Arial" w:cs="Arial"/>
              </w:rPr>
            </w:pPr>
            <w:r>
              <w:rPr>
                <w:rFonts w:ascii="Arial" w:hAnsi="Arial" w:cs="Arial"/>
                <w:sz w:val="19"/>
                <w:szCs w:val="19"/>
              </w:rPr>
              <w:t>≤8.0</w:t>
            </w:r>
          </w:p>
        </w:tc>
        <w:tc>
          <w:tcPr>
            <w:tcW w:w="2600" w:type="dxa"/>
            <w:tcBorders>
              <w:top w:val="nil"/>
              <w:left w:val="nil"/>
              <w:bottom w:val="nil"/>
              <w:right w:val="nil"/>
            </w:tcBorders>
            <w:tcMar>
              <w:top w:w="55" w:type="dxa"/>
              <w:left w:w="90" w:type="dxa"/>
              <w:bottom w:w="55" w:type="dxa"/>
              <w:right w:w="90" w:type="dxa"/>
            </w:tcMar>
            <w:vAlign w:val="center"/>
          </w:tcPr>
          <w:p w14:paraId="1474D968">
            <w:pPr>
              <w:spacing w:line="264" w:lineRule="auto"/>
              <w:jc w:val="left"/>
              <w:rPr>
                <w:rFonts w:ascii="Arial" w:hAnsi="Arial" w:cs="Arial"/>
              </w:rPr>
            </w:pPr>
            <w:r>
              <w:rPr>
                <w:rFonts w:ascii="Arial" w:hAnsi="Arial" w:cs="Arial"/>
                <w:sz w:val="19"/>
                <w:szCs w:val="19"/>
              </w:rPr>
              <w:t>Trypsin inhibitor, mg/g</w:t>
            </w:r>
          </w:p>
        </w:tc>
        <w:tc>
          <w:tcPr>
            <w:tcW w:w="2080" w:type="dxa"/>
            <w:tcBorders>
              <w:top w:val="nil"/>
              <w:left w:val="nil"/>
              <w:bottom w:val="nil"/>
              <w:right w:val="nil"/>
            </w:tcBorders>
            <w:tcMar>
              <w:top w:w="55" w:type="dxa"/>
              <w:left w:w="90" w:type="dxa"/>
              <w:bottom w:w="55" w:type="dxa"/>
              <w:right w:w="90" w:type="dxa"/>
            </w:tcMar>
            <w:vAlign w:val="center"/>
          </w:tcPr>
          <w:p w14:paraId="61C5272C">
            <w:pPr>
              <w:spacing w:line="264" w:lineRule="auto"/>
              <w:jc w:val="center"/>
              <w:rPr>
                <w:rFonts w:ascii="Arial" w:hAnsi="Arial" w:cs="Arial"/>
              </w:rPr>
            </w:pPr>
            <w:r>
              <w:rPr>
                <w:rFonts w:ascii="Arial" w:hAnsi="Arial" w:cs="Arial"/>
                <w:sz w:val="19"/>
                <w:szCs w:val="19"/>
              </w:rPr>
              <w:t>Not detected</w:t>
            </w:r>
          </w:p>
        </w:tc>
      </w:tr>
      <w:tr w14:paraId="6797EF2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40E941AF">
            <w:pPr>
              <w:spacing w:line="264" w:lineRule="auto"/>
              <w:jc w:val="left"/>
              <w:rPr>
                <w:rFonts w:ascii="Arial" w:hAnsi="Arial" w:cs="Arial"/>
              </w:rPr>
            </w:pPr>
            <w:r>
              <w:rPr>
                <w:rFonts w:ascii="Arial" w:hAnsi="Arial" w:cs="Arial"/>
                <w:sz w:val="19"/>
                <w:szCs w:val="19"/>
              </w:rPr>
              <w:t>Crude fiber, %</w:t>
            </w:r>
          </w:p>
        </w:tc>
        <w:tc>
          <w:tcPr>
            <w:tcW w:w="2080" w:type="dxa"/>
            <w:tcBorders>
              <w:top w:val="nil"/>
              <w:left w:val="nil"/>
              <w:bottom w:val="nil"/>
              <w:right w:val="nil"/>
            </w:tcBorders>
            <w:tcMar>
              <w:top w:w="55" w:type="dxa"/>
              <w:left w:w="90" w:type="dxa"/>
              <w:bottom w:w="55" w:type="dxa"/>
              <w:right w:w="90" w:type="dxa"/>
            </w:tcMar>
            <w:vAlign w:val="center"/>
          </w:tcPr>
          <w:p w14:paraId="4F89AB05">
            <w:pPr>
              <w:spacing w:line="264" w:lineRule="auto"/>
              <w:jc w:val="center"/>
              <w:rPr>
                <w:rFonts w:ascii="Arial" w:hAnsi="Arial" w:cs="Arial"/>
              </w:rPr>
            </w:pPr>
            <w:r>
              <w:rPr>
                <w:rFonts w:ascii="Arial" w:hAnsi="Arial" w:cs="Arial"/>
                <w:sz w:val="19"/>
                <w:szCs w:val="19"/>
              </w:rPr>
              <w:t>≤7.0</w:t>
            </w:r>
          </w:p>
        </w:tc>
        <w:tc>
          <w:tcPr>
            <w:tcW w:w="2600" w:type="dxa"/>
            <w:tcBorders>
              <w:top w:val="nil"/>
              <w:left w:val="nil"/>
              <w:bottom w:val="nil"/>
              <w:right w:val="nil"/>
            </w:tcBorders>
            <w:tcMar>
              <w:top w:w="55" w:type="dxa"/>
              <w:left w:w="90" w:type="dxa"/>
              <w:bottom w:w="55" w:type="dxa"/>
              <w:right w:w="90" w:type="dxa"/>
            </w:tcMar>
            <w:vAlign w:val="center"/>
          </w:tcPr>
          <w:p w14:paraId="6F72AD7D">
            <w:pPr>
              <w:spacing w:line="264" w:lineRule="auto"/>
              <w:jc w:val="left"/>
              <w:rPr>
                <w:rFonts w:ascii="Arial" w:hAnsi="Arial" w:cs="Arial"/>
              </w:rPr>
            </w:pPr>
            <w:r>
              <w:rPr>
                <w:rFonts w:ascii="Arial" w:hAnsi="Arial" w:cs="Arial"/>
                <w:sz w:val="19"/>
                <w:szCs w:val="19"/>
              </w:rPr>
              <w:t>Lectin, ppm</w:t>
            </w:r>
          </w:p>
        </w:tc>
        <w:tc>
          <w:tcPr>
            <w:tcW w:w="2080" w:type="dxa"/>
            <w:tcBorders>
              <w:top w:val="nil"/>
              <w:left w:val="nil"/>
              <w:bottom w:val="nil"/>
              <w:right w:val="nil"/>
            </w:tcBorders>
            <w:tcMar>
              <w:top w:w="55" w:type="dxa"/>
              <w:left w:w="90" w:type="dxa"/>
              <w:bottom w:w="55" w:type="dxa"/>
              <w:right w:w="90" w:type="dxa"/>
            </w:tcMar>
            <w:vAlign w:val="center"/>
          </w:tcPr>
          <w:p w14:paraId="1D7689FA">
            <w:pPr>
              <w:spacing w:line="264" w:lineRule="auto"/>
              <w:jc w:val="center"/>
              <w:rPr>
                <w:rFonts w:ascii="Arial" w:hAnsi="Arial" w:cs="Arial"/>
              </w:rPr>
            </w:pPr>
            <w:r>
              <w:rPr>
                <w:rFonts w:ascii="Arial" w:hAnsi="Arial" w:cs="Arial"/>
                <w:sz w:val="19"/>
                <w:szCs w:val="19"/>
              </w:rPr>
              <w:t>Not detected</w:t>
            </w:r>
          </w:p>
        </w:tc>
      </w:tr>
      <w:tr w14:paraId="399BD40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4ABE488A">
            <w:pPr>
              <w:spacing w:line="264" w:lineRule="auto"/>
              <w:jc w:val="left"/>
              <w:rPr>
                <w:rFonts w:ascii="Arial" w:hAnsi="Arial" w:cs="Arial"/>
              </w:rPr>
            </w:pPr>
            <w:r>
              <w:rPr>
                <w:rFonts w:ascii="Arial" w:hAnsi="Arial" w:cs="Arial"/>
                <w:sz w:val="19"/>
                <w:szCs w:val="19"/>
              </w:rPr>
              <w:t>Mannan, %</w:t>
            </w:r>
          </w:p>
        </w:tc>
        <w:tc>
          <w:tcPr>
            <w:tcW w:w="2080" w:type="dxa"/>
            <w:tcBorders>
              <w:top w:val="nil"/>
              <w:left w:val="nil"/>
              <w:bottom w:val="nil"/>
              <w:right w:val="nil"/>
            </w:tcBorders>
            <w:tcMar>
              <w:top w:w="55" w:type="dxa"/>
              <w:left w:w="90" w:type="dxa"/>
              <w:bottom w:w="55" w:type="dxa"/>
              <w:right w:w="90" w:type="dxa"/>
            </w:tcMar>
            <w:vAlign w:val="center"/>
          </w:tcPr>
          <w:p w14:paraId="00F1B7C5">
            <w:pPr>
              <w:spacing w:line="264" w:lineRule="auto"/>
              <w:jc w:val="center"/>
              <w:rPr>
                <w:rFonts w:ascii="Arial" w:hAnsi="Arial" w:cs="Arial"/>
              </w:rPr>
            </w:pPr>
            <w:r>
              <w:rPr>
                <w:rFonts w:ascii="Arial" w:hAnsi="Arial" w:cs="Arial"/>
                <w:sz w:val="19"/>
                <w:szCs w:val="19"/>
              </w:rPr>
              <w:t>≥0.20</w:t>
            </w:r>
          </w:p>
        </w:tc>
        <w:tc>
          <w:tcPr>
            <w:tcW w:w="2600" w:type="dxa"/>
            <w:tcBorders>
              <w:top w:val="nil"/>
              <w:left w:val="nil"/>
              <w:bottom w:val="nil"/>
              <w:right w:val="nil"/>
            </w:tcBorders>
            <w:tcMar>
              <w:top w:w="55" w:type="dxa"/>
              <w:left w:w="90" w:type="dxa"/>
              <w:bottom w:w="55" w:type="dxa"/>
              <w:right w:w="90" w:type="dxa"/>
            </w:tcMar>
            <w:vAlign w:val="center"/>
          </w:tcPr>
          <w:p w14:paraId="5423A7AE">
            <w:pPr>
              <w:spacing w:line="264" w:lineRule="auto"/>
              <w:jc w:val="left"/>
              <w:rPr>
                <w:rFonts w:ascii="Arial" w:hAnsi="Arial" w:cs="Arial"/>
              </w:rPr>
            </w:pPr>
            <w:r>
              <w:rPr>
                <w:rFonts w:ascii="Arial" w:hAnsi="Arial" w:cs="Arial"/>
                <w:sz w:val="19"/>
                <w:szCs w:val="19"/>
              </w:rPr>
              <w:t>Digestible energy (pig), Kcal/kg</w:t>
            </w:r>
          </w:p>
        </w:tc>
        <w:tc>
          <w:tcPr>
            <w:tcW w:w="2080" w:type="dxa"/>
            <w:tcBorders>
              <w:top w:val="nil"/>
              <w:left w:val="nil"/>
              <w:bottom w:val="nil"/>
              <w:right w:val="nil"/>
            </w:tcBorders>
            <w:tcMar>
              <w:top w:w="55" w:type="dxa"/>
              <w:left w:w="90" w:type="dxa"/>
              <w:bottom w:w="55" w:type="dxa"/>
              <w:right w:w="90" w:type="dxa"/>
            </w:tcMar>
            <w:vAlign w:val="center"/>
          </w:tcPr>
          <w:p w14:paraId="76E49101">
            <w:pPr>
              <w:spacing w:line="264" w:lineRule="auto"/>
              <w:jc w:val="center"/>
              <w:rPr>
                <w:rFonts w:ascii="Arial" w:hAnsi="Arial" w:cs="Arial"/>
              </w:rPr>
            </w:pPr>
            <w:r>
              <w:rPr>
                <w:rFonts w:ascii="Arial" w:hAnsi="Arial" w:cs="Arial"/>
                <w:sz w:val="19"/>
                <w:szCs w:val="19"/>
              </w:rPr>
              <w:t>3980</w:t>
            </w:r>
          </w:p>
        </w:tc>
      </w:tr>
      <w:tr w14:paraId="7891B70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2A2172A6">
            <w:pPr>
              <w:spacing w:line="264" w:lineRule="auto"/>
              <w:jc w:val="left"/>
              <w:rPr>
                <w:rFonts w:ascii="Arial" w:hAnsi="Arial" w:cs="Arial"/>
              </w:rPr>
            </w:pPr>
            <w:r>
              <w:rPr>
                <w:rFonts w:ascii="Arial" w:hAnsi="Arial" w:cs="Arial"/>
                <w:sz w:val="19"/>
                <w:szCs w:val="19"/>
              </w:rPr>
              <w:t>Crude fat, %</w:t>
            </w:r>
          </w:p>
        </w:tc>
        <w:tc>
          <w:tcPr>
            <w:tcW w:w="2080" w:type="dxa"/>
            <w:tcBorders>
              <w:top w:val="nil"/>
              <w:left w:val="nil"/>
              <w:bottom w:val="nil"/>
              <w:right w:val="nil"/>
            </w:tcBorders>
            <w:tcMar>
              <w:top w:w="55" w:type="dxa"/>
              <w:left w:w="90" w:type="dxa"/>
              <w:bottom w:w="55" w:type="dxa"/>
              <w:right w:w="90" w:type="dxa"/>
            </w:tcMar>
            <w:vAlign w:val="center"/>
          </w:tcPr>
          <w:p w14:paraId="603811EF">
            <w:pPr>
              <w:spacing w:line="264" w:lineRule="auto"/>
              <w:jc w:val="center"/>
              <w:rPr>
                <w:rFonts w:ascii="Arial" w:hAnsi="Arial" w:cs="Arial"/>
              </w:rPr>
            </w:pPr>
            <w:r>
              <w:rPr>
                <w:rFonts w:ascii="Arial" w:hAnsi="Arial" w:cs="Arial"/>
                <w:sz w:val="19"/>
                <w:szCs w:val="19"/>
              </w:rPr>
              <w:t>≤1.50</w:t>
            </w:r>
          </w:p>
        </w:tc>
        <w:tc>
          <w:tcPr>
            <w:tcW w:w="2600" w:type="dxa"/>
            <w:tcBorders>
              <w:top w:val="nil"/>
              <w:left w:val="nil"/>
              <w:bottom w:val="nil"/>
              <w:right w:val="nil"/>
            </w:tcBorders>
            <w:tcMar>
              <w:top w:w="55" w:type="dxa"/>
              <w:left w:w="90" w:type="dxa"/>
              <w:bottom w:w="55" w:type="dxa"/>
              <w:right w:w="90" w:type="dxa"/>
            </w:tcMar>
            <w:vAlign w:val="center"/>
          </w:tcPr>
          <w:p w14:paraId="6214F08A">
            <w:pPr>
              <w:spacing w:line="264" w:lineRule="auto"/>
              <w:jc w:val="left"/>
              <w:rPr>
                <w:rFonts w:ascii="Arial" w:hAnsi="Arial" w:cs="Arial"/>
              </w:rPr>
            </w:pPr>
            <w:r>
              <w:rPr>
                <w:rFonts w:ascii="Arial" w:hAnsi="Arial" w:cs="Arial"/>
                <w:sz w:val="19"/>
                <w:szCs w:val="19"/>
              </w:rPr>
              <w:t>Metabolizable energy (pig), Kcal/kg</w:t>
            </w:r>
          </w:p>
        </w:tc>
        <w:tc>
          <w:tcPr>
            <w:tcW w:w="2080" w:type="dxa"/>
            <w:tcBorders>
              <w:top w:val="nil"/>
              <w:left w:val="nil"/>
              <w:bottom w:val="nil"/>
              <w:right w:val="nil"/>
            </w:tcBorders>
            <w:tcMar>
              <w:top w:w="55" w:type="dxa"/>
              <w:left w:w="90" w:type="dxa"/>
              <w:bottom w:w="55" w:type="dxa"/>
              <w:right w:w="90" w:type="dxa"/>
            </w:tcMar>
            <w:vAlign w:val="center"/>
          </w:tcPr>
          <w:p w14:paraId="585CBB7E">
            <w:pPr>
              <w:spacing w:line="264" w:lineRule="auto"/>
              <w:jc w:val="center"/>
              <w:rPr>
                <w:rFonts w:ascii="Arial" w:hAnsi="Arial" w:cs="Arial"/>
              </w:rPr>
            </w:pPr>
            <w:r>
              <w:rPr>
                <w:rFonts w:ascii="Arial" w:hAnsi="Arial" w:cs="Arial"/>
                <w:sz w:val="19"/>
                <w:szCs w:val="19"/>
              </w:rPr>
              <w:t>3624</w:t>
            </w:r>
          </w:p>
        </w:tc>
      </w:tr>
      <w:tr w14:paraId="3B8796D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single" w:color="000000" w:sz="12" w:space="0"/>
              <w:right w:val="nil"/>
            </w:tcBorders>
            <w:tcMar>
              <w:top w:w="55" w:type="dxa"/>
              <w:left w:w="90" w:type="dxa"/>
              <w:bottom w:w="55" w:type="dxa"/>
              <w:right w:w="90" w:type="dxa"/>
            </w:tcMar>
            <w:vAlign w:val="center"/>
          </w:tcPr>
          <w:p w14:paraId="0928453E">
            <w:pPr>
              <w:spacing w:line="264" w:lineRule="auto"/>
              <w:jc w:val="left"/>
              <w:rPr>
                <w:rFonts w:ascii="Arial" w:hAnsi="Arial" w:cs="Arial"/>
              </w:rPr>
            </w:pPr>
            <w:r>
              <w:rPr>
                <w:rFonts w:ascii="Arial" w:hAnsi="Arial" w:cs="Arial"/>
                <w:sz w:val="19"/>
                <w:szCs w:val="19"/>
              </w:rPr>
              <w:t>Pepsin digestibility, %</w:t>
            </w:r>
          </w:p>
        </w:tc>
        <w:tc>
          <w:tcPr>
            <w:tcW w:w="2080" w:type="dxa"/>
            <w:tcBorders>
              <w:top w:val="nil"/>
              <w:left w:val="nil"/>
              <w:bottom w:val="single" w:color="000000" w:sz="12" w:space="0"/>
              <w:right w:val="nil"/>
            </w:tcBorders>
            <w:tcMar>
              <w:top w:w="55" w:type="dxa"/>
              <w:left w:w="90" w:type="dxa"/>
              <w:bottom w:w="55" w:type="dxa"/>
              <w:right w:w="90" w:type="dxa"/>
            </w:tcMar>
            <w:vAlign w:val="center"/>
          </w:tcPr>
          <w:p w14:paraId="68F514FE">
            <w:pPr>
              <w:spacing w:line="264" w:lineRule="auto"/>
              <w:jc w:val="center"/>
              <w:rPr>
                <w:rFonts w:ascii="Arial" w:hAnsi="Arial" w:cs="Arial"/>
              </w:rPr>
            </w:pPr>
            <w:r>
              <w:rPr>
                <w:rFonts w:ascii="Arial" w:hAnsi="Arial" w:cs="Arial"/>
                <w:sz w:val="19"/>
                <w:szCs w:val="19"/>
              </w:rPr>
              <w:t>≥95.00</w:t>
            </w:r>
          </w:p>
        </w:tc>
        <w:tc>
          <w:tcPr>
            <w:tcW w:w="2600" w:type="dxa"/>
            <w:tcBorders>
              <w:top w:val="nil"/>
              <w:left w:val="nil"/>
              <w:bottom w:val="single" w:color="000000" w:sz="12" w:space="0"/>
              <w:right w:val="nil"/>
            </w:tcBorders>
            <w:tcMar>
              <w:top w:w="55" w:type="dxa"/>
              <w:left w:w="90" w:type="dxa"/>
              <w:bottom w:w="55" w:type="dxa"/>
              <w:right w:w="90" w:type="dxa"/>
            </w:tcMar>
            <w:vAlign w:val="center"/>
          </w:tcPr>
          <w:p w14:paraId="1D333A54">
            <w:pPr>
              <w:spacing w:line="264" w:lineRule="auto"/>
              <w:jc w:val="left"/>
              <w:rPr>
                <w:rFonts w:ascii="Arial" w:hAnsi="Arial" w:cs="Arial"/>
              </w:rPr>
            </w:pPr>
            <w:r>
              <w:rPr>
                <w:rFonts w:ascii="Arial" w:hAnsi="Arial" w:cs="Arial"/>
                <w:sz w:val="19"/>
                <w:szCs w:val="19"/>
              </w:rPr>
              <w:t>Net energy (pig), Kcal/kg</w:t>
            </w:r>
          </w:p>
        </w:tc>
        <w:tc>
          <w:tcPr>
            <w:tcW w:w="2080" w:type="dxa"/>
            <w:tcBorders>
              <w:top w:val="nil"/>
              <w:left w:val="nil"/>
              <w:bottom w:val="single" w:color="000000" w:sz="12" w:space="0"/>
              <w:right w:val="nil"/>
            </w:tcBorders>
            <w:tcMar>
              <w:top w:w="55" w:type="dxa"/>
              <w:left w:w="90" w:type="dxa"/>
              <w:bottom w:w="55" w:type="dxa"/>
              <w:right w:w="90" w:type="dxa"/>
            </w:tcMar>
            <w:vAlign w:val="center"/>
          </w:tcPr>
          <w:p w14:paraId="51516B20">
            <w:pPr>
              <w:spacing w:line="264" w:lineRule="auto"/>
              <w:jc w:val="center"/>
              <w:rPr>
                <w:rFonts w:ascii="Arial" w:hAnsi="Arial" w:cs="Arial"/>
              </w:rPr>
            </w:pPr>
            <w:r>
              <w:rPr>
                <w:rFonts w:ascii="Arial" w:hAnsi="Arial" w:cs="Arial"/>
                <w:sz w:val="19"/>
                <w:szCs w:val="19"/>
              </w:rPr>
              <w:t>2212</w:t>
            </w:r>
          </w:p>
        </w:tc>
      </w:tr>
    </w:tbl>
    <w:p w14:paraId="5BB1DB37">
      <w:pPr>
        <w:spacing w:before="190" w:after="80"/>
        <w:outlineLvl w:val="1"/>
        <w:rPr>
          <w:rFonts w:ascii="Arial" w:hAnsi="Arial" w:cs="Arial"/>
        </w:rPr>
      </w:pPr>
      <w:r>
        <w:rPr>
          <w:rFonts w:ascii="Arial" w:hAnsi="Arial" w:eastAsia="黑体" w:cs="Arial"/>
          <w:b/>
          <w:sz w:val="24"/>
          <w:szCs w:val="24"/>
        </w:rPr>
        <w:t>4.2 Amino Acid Composition</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340"/>
        <w:gridCol w:w="2340"/>
        <w:gridCol w:w="2340"/>
        <w:gridCol w:w="2340"/>
      </w:tblGrid>
      <w:tr w14:paraId="085E8DB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5133C085">
            <w:pPr>
              <w:spacing w:line="264" w:lineRule="auto"/>
              <w:jc w:val="center"/>
              <w:rPr>
                <w:rFonts w:ascii="Arial" w:hAnsi="Arial" w:cs="Arial"/>
              </w:rPr>
            </w:pPr>
            <w:r>
              <w:rPr>
                <w:rFonts w:ascii="Arial" w:hAnsi="Arial" w:cs="Arial"/>
                <w:b/>
                <w:sz w:val="20"/>
                <w:szCs w:val="20"/>
              </w:rPr>
              <w:t>Amino Acid</w:t>
            </w:r>
          </w:p>
        </w:tc>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496D8B9A">
            <w:pPr>
              <w:spacing w:line="264" w:lineRule="auto"/>
              <w:jc w:val="center"/>
              <w:rPr>
                <w:rFonts w:ascii="Arial" w:hAnsi="Arial" w:cs="Arial"/>
              </w:rPr>
            </w:pPr>
            <w:r>
              <w:rPr>
                <w:rFonts w:ascii="Arial" w:hAnsi="Arial" w:cs="Arial"/>
                <w:b/>
                <w:sz w:val="20"/>
                <w:szCs w:val="20"/>
              </w:rPr>
              <w:t>Content (%)</w:t>
            </w:r>
          </w:p>
        </w:tc>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0A917242">
            <w:pPr>
              <w:spacing w:line="264" w:lineRule="auto"/>
              <w:jc w:val="center"/>
              <w:rPr>
                <w:rFonts w:ascii="Arial" w:hAnsi="Arial" w:cs="Arial"/>
              </w:rPr>
            </w:pPr>
            <w:r>
              <w:rPr>
                <w:rFonts w:ascii="Arial" w:hAnsi="Arial" w:cs="Arial"/>
                <w:b/>
                <w:sz w:val="20"/>
                <w:szCs w:val="20"/>
              </w:rPr>
              <w:t>Amino Acid</w:t>
            </w:r>
          </w:p>
        </w:tc>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08D90341">
            <w:pPr>
              <w:spacing w:line="264" w:lineRule="auto"/>
              <w:jc w:val="center"/>
              <w:rPr>
                <w:rFonts w:ascii="Arial" w:hAnsi="Arial" w:cs="Arial"/>
              </w:rPr>
            </w:pPr>
            <w:r>
              <w:rPr>
                <w:rFonts w:ascii="Arial" w:hAnsi="Arial" w:cs="Arial"/>
                <w:b/>
                <w:sz w:val="20"/>
                <w:szCs w:val="20"/>
              </w:rPr>
              <w:t>Content (%)</w:t>
            </w:r>
          </w:p>
        </w:tc>
      </w:tr>
      <w:tr w14:paraId="156B502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2E6F4254">
            <w:pPr>
              <w:spacing w:line="264" w:lineRule="auto"/>
              <w:jc w:val="center"/>
              <w:rPr>
                <w:rFonts w:ascii="Arial" w:hAnsi="Arial" w:cs="Arial"/>
              </w:rPr>
            </w:pPr>
            <w:r>
              <w:rPr>
                <w:rFonts w:ascii="Arial" w:hAnsi="Arial" w:cs="Arial"/>
                <w:sz w:val="19"/>
                <w:szCs w:val="19"/>
              </w:rPr>
              <w:t>Methionine</w:t>
            </w:r>
          </w:p>
        </w:tc>
        <w:tc>
          <w:tcPr>
            <w:tcW w:w="2340" w:type="dxa"/>
            <w:tcBorders>
              <w:top w:val="nil"/>
              <w:left w:val="nil"/>
              <w:bottom w:val="nil"/>
              <w:right w:val="nil"/>
            </w:tcBorders>
            <w:tcMar>
              <w:top w:w="55" w:type="dxa"/>
              <w:left w:w="90" w:type="dxa"/>
              <w:bottom w:w="55" w:type="dxa"/>
              <w:right w:w="90" w:type="dxa"/>
            </w:tcMar>
            <w:vAlign w:val="center"/>
          </w:tcPr>
          <w:p w14:paraId="7D5067BB">
            <w:pPr>
              <w:spacing w:line="264" w:lineRule="auto"/>
              <w:jc w:val="center"/>
              <w:rPr>
                <w:rFonts w:ascii="Arial" w:hAnsi="Arial" w:cs="Arial"/>
              </w:rPr>
            </w:pPr>
            <w:r>
              <w:rPr>
                <w:rFonts w:ascii="Arial" w:hAnsi="Arial" w:cs="Arial"/>
                <w:sz w:val="19"/>
                <w:szCs w:val="19"/>
              </w:rPr>
              <w:t>0.74</w:t>
            </w:r>
          </w:p>
        </w:tc>
        <w:tc>
          <w:tcPr>
            <w:tcW w:w="2340" w:type="dxa"/>
            <w:tcBorders>
              <w:top w:val="nil"/>
              <w:left w:val="nil"/>
              <w:bottom w:val="nil"/>
              <w:right w:val="nil"/>
            </w:tcBorders>
            <w:tcMar>
              <w:top w:w="55" w:type="dxa"/>
              <w:left w:w="90" w:type="dxa"/>
              <w:bottom w:w="55" w:type="dxa"/>
              <w:right w:w="90" w:type="dxa"/>
            </w:tcMar>
            <w:vAlign w:val="center"/>
          </w:tcPr>
          <w:p w14:paraId="10A85B43">
            <w:pPr>
              <w:spacing w:line="264" w:lineRule="auto"/>
              <w:jc w:val="center"/>
              <w:rPr>
                <w:rFonts w:ascii="Arial" w:hAnsi="Arial" w:cs="Arial"/>
              </w:rPr>
            </w:pPr>
            <w:r>
              <w:rPr>
                <w:rFonts w:ascii="Arial" w:hAnsi="Arial" w:cs="Arial"/>
                <w:sz w:val="19"/>
                <w:szCs w:val="19"/>
              </w:rPr>
              <w:t>Proline</w:t>
            </w:r>
          </w:p>
        </w:tc>
        <w:tc>
          <w:tcPr>
            <w:tcW w:w="2340" w:type="dxa"/>
            <w:tcBorders>
              <w:top w:val="nil"/>
              <w:left w:val="nil"/>
              <w:bottom w:val="nil"/>
              <w:right w:val="nil"/>
            </w:tcBorders>
            <w:tcMar>
              <w:top w:w="55" w:type="dxa"/>
              <w:left w:w="90" w:type="dxa"/>
              <w:bottom w:w="55" w:type="dxa"/>
              <w:right w:w="90" w:type="dxa"/>
            </w:tcMar>
            <w:vAlign w:val="center"/>
          </w:tcPr>
          <w:p w14:paraId="25C1C33A">
            <w:pPr>
              <w:spacing w:line="264" w:lineRule="auto"/>
              <w:jc w:val="center"/>
              <w:rPr>
                <w:rFonts w:ascii="Arial" w:hAnsi="Arial" w:cs="Arial"/>
              </w:rPr>
            </w:pPr>
            <w:r>
              <w:rPr>
                <w:rFonts w:ascii="Arial" w:hAnsi="Arial" w:cs="Arial"/>
                <w:sz w:val="19"/>
                <w:szCs w:val="19"/>
              </w:rPr>
              <w:t>2.94</w:t>
            </w:r>
          </w:p>
        </w:tc>
      </w:tr>
      <w:tr w14:paraId="3C61A4C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50EEB7F7">
            <w:pPr>
              <w:spacing w:line="264" w:lineRule="auto"/>
              <w:jc w:val="center"/>
              <w:rPr>
                <w:rFonts w:ascii="Arial" w:hAnsi="Arial" w:cs="Arial"/>
              </w:rPr>
            </w:pPr>
            <w:r>
              <w:rPr>
                <w:rFonts w:ascii="Arial" w:hAnsi="Arial" w:cs="Arial"/>
                <w:sz w:val="19"/>
                <w:szCs w:val="19"/>
              </w:rPr>
              <w:t>Cystine</w:t>
            </w:r>
          </w:p>
        </w:tc>
        <w:tc>
          <w:tcPr>
            <w:tcW w:w="2340" w:type="dxa"/>
            <w:tcBorders>
              <w:top w:val="nil"/>
              <w:left w:val="nil"/>
              <w:bottom w:val="nil"/>
              <w:right w:val="nil"/>
            </w:tcBorders>
            <w:tcMar>
              <w:top w:w="55" w:type="dxa"/>
              <w:left w:w="90" w:type="dxa"/>
              <w:bottom w:w="55" w:type="dxa"/>
              <w:right w:w="90" w:type="dxa"/>
            </w:tcMar>
            <w:vAlign w:val="center"/>
          </w:tcPr>
          <w:p w14:paraId="711469BA">
            <w:pPr>
              <w:spacing w:line="264" w:lineRule="auto"/>
              <w:jc w:val="center"/>
              <w:rPr>
                <w:rFonts w:ascii="Arial" w:hAnsi="Arial" w:cs="Arial"/>
              </w:rPr>
            </w:pPr>
            <w:r>
              <w:rPr>
                <w:rFonts w:ascii="Arial" w:hAnsi="Arial" w:cs="Arial"/>
                <w:sz w:val="19"/>
                <w:szCs w:val="19"/>
              </w:rPr>
              <w:t>0.70</w:t>
            </w:r>
          </w:p>
        </w:tc>
        <w:tc>
          <w:tcPr>
            <w:tcW w:w="2340" w:type="dxa"/>
            <w:tcBorders>
              <w:top w:val="nil"/>
              <w:left w:val="nil"/>
              <w:bottom w:val="nil"/>
              <w:right w:val="nil"/>
            </w:tcBorders>
            <w:tcMar>
              <w:top w:w="55" w:type="dxa"/>
              <w:left w:w="90" w:type="dxa"/>
              <w:bottom w:w="55" w:type="dxa"/>
              <w:right w:w="90" w:type="dxa"/>
            </w:tcMar>
            <w:vAlign w:val="center"/>
          </w:tcPr>
          <w:p w14:paraId="3728ED19">
            <w:pPr>
              <w:spacing w:line="264" w:lineRule="auto"/>
              <w:jc w:val="center"/>
              <w:rPr>
                <w:rFonts w:ascii="Arial" w:hAnsi="Arial" w:cs="Arial"/>
              </w:rPr>
            </w:pPr>
            <w:r>
              <w:rPr>
                <w:rFonts w:ascii="Arial" w:hAnsi="Arial" w:cs="Arial"/>
                <w:sz w:val="19"/>
                <w:szCs w:val="19"/>
              </w:rPr>
              <w:t>Serine</w:t>
            </w:r>
          </w:p>
        </w:tc>
        <w:tc>
          <w:tcPr>
            <w:tcW w:w="2340" w:type="dxa"/>
            <w:tcBorders>
              <w:top w:val="nil"/>
              <w:left w:val="nil"/>
              <w:bottom w:val="nil"/>
              <w:right w:val="nil"/>
            </w:tcBorders>
            <w:tcMar>
              <w:top w:w="55" w:type="dxa"/>
              <w:left w:w="90" w:type="dxa"/>
              <w:bottom w:w="55" w:type="dxa"/>
              <w:right w:w="90" w:type="dxa"/>
            </w:tcMar>
            <w:vAlign w:val="center"/>
          </w:tcPr>
          <w:p w14:paraId="381C9A8B">
            <w:pPr>
              <w:spacing w:line="264" w:lineRule="auto"/>
              <w:jc w:val="center"/>
              <w:rPr>
                <w:rFonts w:ascii="Arial" w:hAnsi="Arial" w:cs="Arial"/>
              </w:rPr>
            </w:pPr>
            <w:r>
              <w:rPr>
                <w:rFonts w:ascii="Arial" w:hAnsi="Arial" w:cs="Arial"/>
                <w:sz w:val="19"/>
                <w:szCs w:val="19"/>
              </w:rPr>
              <w:t>2.80</w:t>
            </w:r>
          </w:p>
        </w:tc>
      </w:tr>
      <w:tr w14:paraId="7581F8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08FA6D4A">
            <w:pPr>
              <w:spacing w:line="264" w:lineRule="auto"/>
              <w:jc w:val="center"/>
              <w:rPr>
                <w:rFonts w:ascii="Arial" w:hAnsi="Arial" w:cs="Arial"/>
              </w:rPr>
            </w:pPr>
            <w:r>
              <w:rPr>
                <w:rFonts w:ascii="Arial" w:hAnsi="Arial" w:cs="Arial"/>
                <w:sz w:val="19"/>
                <w:szCs w:val="19"/>
              </w:rPr>
              <w:t>Leucine</w:t>
            </w:r>
          </w:p>
        </w:tc>
        <w:tc>
          <w:tcPr>
            <w:tcW w:w="2340" w:type="dxa"/>
            <w:tcBorders>
              <w:top w:val="nil"/>
              <w:left w:val="nil"/>
              <w:bottom w:val="nil"/>
              <w:right w:val="nil"/>
            </w:tcBorders>
            <w:tcMar>
              <w:top w:w="55" w:type="dxa"/>
              <w:left w:w="90" w:type="dxa"/>
              <w:bottom w:w="55" w:type="dxa"/>
              <w:right w:w="90" w:type="dxa"/>
            </w:tcMar>
            <w:vAlign w:val="center"/>
          </w:tcPr>
          <w:p w14:paraId="0A3F55F3">
            <w:pPr>
              <w:spacing w:line="264" w:lineRule="auto"/>
              <w:jc w:val="center"/>
              <w:rPr>
                <w:rFonts w:ascii="Arial" w:hAnsi="Arial" w:cs="Arial"/>
              </w:rPr>
            </w:pPr>
            <w:r>
              <w:rPr>
                <w:rFonts w:ascii="Arial" w:hAnsi="Arial" w:cs="Arial"/>
                <w:sz w:val="19"/>
                <w:szCs w:val="19"/>
              </w:rPr>
              <w:t>4.38</w:t>
            </w:r>
          </w:p>
        </w:tc>
        <w:tc>
          <w:tcPr>
            <w:tcW w:w="2340" w:type="dxa"/>
            <w:tcBorders>
              <w:top w:val="nil"/>
              <w:left w:val="nil"/>
              <w:bottom w:val="nil"/>
              <w:right w:val="nil"/>
            </w:tcBorders>
            <w:tcMar>
              <w:top w:w="55" w:type="dxa"/>
              <w:left w:w="90" w:type="dxa"/>
              <w:bottom w:w="55" w:type="dxa"/>
              <w:right w:w="90" w:type="dxa"/>
            </w:tcMar>
            <w:vAlign w:val="center"/>
          </w:tcPr>
          <w:p w14:paraId="3AD1093E">
            <w:pPr>
              <w:spacing w:line="264" w:lineRule="auto"/>
              <w:jc w:val="center"/>
              <w:rPr>
                <w:rFonts w:ascii="Arial" w:hAnsi="Arial" w:cs="Arial"/>
              </w:rPr>
            </w:pPr>
            <w:r>
              <w:rPr>
                <w:rFonts w:ascii="Arial" w:hAnsi="Arial" w:cs="Arial"/>
                <w:sz w:val="19"/>
                <w:szCs w:val="19"/>
              </w:rPr>
              <w:t>Aspartic acid</w:t>
            </w:r>
          </w:p>
        </w:tc>
        <w:tc>
          <w:tcPr>
            <w:tcW w:w="2340" w:type="dxa"/>
            <w:tcBorders>
              <w:top w:val="nil"/>
              <w:left w:val="nil"/>
              <w:bottom w:val="nil"/>
              <w:right w:val="nil"/>
            </w:tcBorders>
            <w:tcMar>
              <w:top w:w="55" w:type="dxa"/>
              <w:left w:w="90" w:type="dxa"/>
              <w:bottom w:w="55" w:type="dxa"/>
              <w:right w:w="90" w:type="dxa"/>
            </w:tcMar>
            <w:vAlign w:val="center"/>
          </w:tcPr>
          <w:p w14:paraId="005C71AF">
            <w:pPr>
              <w:spacing w:line="264" w:lineRule="auto"/>
              <w:jc w:val="center"/>
              <w:rPr>
                <w:rFonts w:ascii="Arial" w:hAnsi="Arial" w:cs="Arial"/>
              </w:rPr>
            </w:pPr>
            <w:r>
              <w:rPr>
                <w:rFonts w:ascii="Arial" w:hAnsi="Arial" w:cs="Arial"/>
                <w:sz w:val="19"/>
                <w:szCs w:val="19"/>
              </w:rPr>
              <w:t>6.49</w:t>
            </w:r>
          </w:p>
        </w:tc>
      </w:tr>
      <w:tr w14:paraId="7B015A6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1617D9C3">
            <w:pPr>
              <w:spacing w:line="264" w:lineRule="auto"/>
              <w:jc w:val="center"/>
              <w:rPr>
                <w:rFonts w:ascii="Arial" w:hAnsi="Arial" w:cs="Arial"/>
              </w:rPr>
            </w:pPr>
            <w:r>
              <w:rPr>
                <w:rFonts w:ascii="Arial" w:hAnsi="Arial" w:cs="Arial"/>
                <w:sz w:val="19"/>
                <w:szCs w:val="19"/>
              </w:rPr>
              <w:t>Threonine</w:t>
            </w:r>
          </w:p>
        </w:tc>
        <w:tc>
          <w:tcPr>
            <w:tcW w:w="2340" w:type="dxa"/>
            <w:tcBorders>
              <w:top w:val="nil"/>
              <w:left w:val="nil"/>
              <w:bottom w:val="nil"/>
              <w:right w:val="nil"/>
            </w:tcBorders>
            <w:tcMar>
              <w:top w:w="55" w:type="dxa"/>
              <w:left w:w="90" w:type="dxa"/>
              <w:bottom w:w="55" w:type="dxa"/>
              <w:right w:w="90" w:type="dxa"/>
            </w:tcMar>
            <w:vAlign w:val="center"/>
          </w:tcPr>
          <w:p w14:paraId="2C09C750">
            <w:pPr>
              <w:spacing w:line="264" w:lineRule="auto"/>
              <w:jc w:val="center"/>
              <w:rPr>
                <w:rFonts w:ascii="Arial" w:hAnsi="Arial" w:cs="Arial"/>
              </w:rPr>
            </w:pPr>
            <w:r>
              <w:rPr>
                <w:rFonts w:ascii="Arial" w:hAnsi="Arial" w:cs="Arial"/>
                <w:sz w:val="19"/>
                <w:szCs w:val="19"/>
              </w:rPr>
              <w:t>2.19</w:t>
            </w:r>
          </w:p>
        </w:tc>
        <w:tc>
          <w:tcPr>
            <w:tcW w:w="2340" w:type="dxa"/>
            <w:tcBorders>
              <w:top w:val="nil"/>
              <w:left w:val="nil"/>
              <w:bottom w:val="nil"/>
              <w:right w:val="nil"/>
            </w:tcBorders>
            <w:tcMar>
              <w:top w:w="55" w:type="dxa"/>
              <w:left w:w="90" w:type="dxa"/>
              <w:bottom w:w="55" w:type="dxa"/>
              <w:right w:w="90" w:type="dxa"/>
            </w:tcMar>
            <w:vAlign w:val="center"/>
          </w:tcPr>
          <w:p w14:paraId="0E3007C1">
            <w:pPr>
              <w:spacing w:line="264" w:lineRule="auto"/>
              <w:jc w:val="center"/>
              <w:rPr>
                <w:rFonts w:ascii="Arial" w:hAnsi="Arial" w:cs="Arial"/>
              </w:rPr>
            </w:pPr>
            <w:r>
              <w:rPr>
                <w:rFonts w:ascii="Arial" w:hAnsi="Arial" w:cs="Arial"/>
                <w:sz w:val="19"/>
                <w:szCs w:val="19"/>
              </w:rPr>
              <w:t>Phenylalanine</w:t>
            </w:r>
          </w:p>
        </w:tc>
        <w:tc>
          <w:tcPr>
            <w:tcW w:w="2340" w:type="dxa"/>
            <w:tcBorders>
              <w:top w:val="nil"/>
              <w:left w:val="nil"/>
              <w:bottom w:val="nil"/>
              <w:right w:val="nil"/>
            </w:tcBorders>
            <w:tcMar>
              <w:top w:w="55" w:type="dxa"/>
              <w:left w:w="90" w:type="dxa"/>
              <w:bottom w:w="55" w:type="dxa"/>
              <w:right w:w="90" w:type="dxa"/>
            </w:tcMar>
            <w:vAlign w:val="center"/>
          </w:tcPr>
          <w:p w14:paraId="63A639B9">
            <w:pPr>
              <w:spacing w:line="264" w:lineRule="auto"/>
              <w:jc w:val="center"/>
              <w:rPr>
                <w:rFonts w:ascii="Arial" w:hAnsi="Arial" w:cs="Arial"/>
              </w:rPr>
            </w:pPr>
            <w:r>
              <w:rPr>
                <w:rFonts w:ascii="Arial" w:hAnsi="Arial" w:cs="Arial"/>
                <w:sz w:val="19"/>
                <w:szCs w:val="19"/>
              </w:rPr>
              <w:t>2.93</w:t>
            </w:r>
          </w:p>
        </w:tc>
      </w:tr>
      <w:tr w14:paraId="6E0D3A4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7DF60658">
            <w:pPr>
              <w:spacing w:line="264" w:lineRule="auto"/>
              <w:jc w:val="center"/>
              <w:rPr>
                <w:rFonts w:ascii="Arial" w:hAnsi="Arial" w:cs="Arial"/>
              </w:rPr>
            </w:pPr>
            <w:r>
              <w:rPr>
                <w:rFonts w:ascii="Arial" w:hAnsi="Arial" w:cs="Arial"/>
                <w:sz w:val="19"/>
                <w:szCs w:val="19"/>
              </w:rPr>
              <w:t>Valine</w:t>
            </w:r>
          </w:p>
        </w:tc>
        <w:tc>
          <w:tcPr>
            <w:tcW w:w="2340" w:type="dxa"/>
            <w:tcBorders>
              <w:top w:val="nil"/>
              <w:left w:val="nil"/>
              <w:bottom w:val="nil"/>
              <w:right w:val="nil"/>
            </w:tcBorders>
            <w:tcMar>
              <w:top w:w="55" w:type="dxa"/>
              <w:left w:w="90" w:type="dxa"/>
              <w:bottom w:w="55" w:type="dxa"/>
              <w:right w:w="90" w:type="dxa"/>
            </w:tcMar>
            <w:vAlign w:val="center"/>
          </w:tcPr>
          <w:p w14:paraId="625E5195">
            <w:pPr>
              <w:spacing w:line="264" w:lineRule="auto"/>
              <w:jc w:val="center"/>
              <w:rPr>
                <w:rFonts w:ascii="Arial" w:hAnsi="Arial" w:cs="Arial"/>
              </w:rPr>
            </w:pPr>
            <w:r>
              <w:rPr>
                <w:rFonts w:ascii="Arial" w:hAnsi="Arial" w:cs="Arial"/>
                <w:sz w:val="19"/>
                <w:szCs w:val="19"/>
              </w:rPr>
              <w:t>2.69</w:t>
            </w:r>
          </w:p>
        </w:tc>
        <w:tc>
          <w:tcPr>
            <w:tcW w:w="2340" w:type="dxa"/>
            <w:tcBorders>
              <w:top w:val="nil"/>
              <w:left w:val="nil"/>
              <w:bottom w:val="nil"/>
              <w:right w:val="nil"/>
            </w:tcBorders>
            <w:tcMar>
              <w:top w:w="55" w:type="dxa"/>
              <w:left w:w="90" w:type="dxa"/>
              <w:bottom w:w="55" w:type="dxa"/>
              <w:right w:w="90" w:type="dxa"/>
            </w:tcMar>
            <w:vAlign w:val="center"/>
          </w:tcPr>
          <w:p w14:paraId="576CA575">
            <w:pPr>
              <w:spacing w:line="264" w:lineRule="auto"/>
              <w:jc w:val="center"/>
              <w:rPr>
                <w:rFonts w:ascii="Arial" w:hAnsi="Arial" w:cs="Arial"/>
              </w:rPr>
            </w:pPr>
            <w:r>
              <w:rPr>
                <w:rFonts w:ascii="Arial" w:hAnsi="Arial" w:cs="Arial"/>
                <w:sz w:val="19"/>
                <w:szCs w:val="19"/>
              </w:rPr>
              <w:t>Alanine</w:t>
            </w:r>
          </w:p>
        </w:tc>
        <w:tc>
          <w:tcPr>
            <w:tcW w:w="2340" w:type="dxa"/>
            <w:tcBorders>
              <w:top w:val="nil"/>
              <w:left w:val="nil"/>
              <w:bottom w:val="nil"/>
              <w:right w:val="nil"/>
            </w:tcBorders>
            <w:tcMar>
              <w:top w:w="55" w:type="dxa"/>
              <w:left w:w="90" w:type="dxa"/>
              <w:bottom w:w="55" w:type="dxa"/>
              <w:right w:w="90" w:type="dxa"/>
            </w:tcMar>
            <w:vAlign w:val="center"/>
          </w:tcPr>
          <w:p w14:paraId="7E145BA8">
            <w:pPr>
              <w:spacing w:line="264" w:lineRule="auto"/>
              <w:jc w:val="center"/>
              <w:rPr>
                <w:rFonts w:ascii="Arial" w:hAnsi="Arial" w:cs="Arial"/>
              </w:rPr>
            </w:pPr>
            <w:r>
              <w:rPr>
                <w:rFonts w:ascii="Arial" w:hAnsi="Arial" w:cs="Arial"/>
                <w:sz w:val="19"/>
                <w:szCs w:val="19"/>
              </w:rPr>
              <w:t>2.52</w:t>
            </w:r>
          </w:p>
        </w:tc>
      </w:tr>
      <w:tr w14:paraId="542B248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0C81DEE9">
            <w:pPr>
              <w:spacing w:line="264" w:lineRule="auto"/>
              <w:jc w:val="center"/>
              <w:rPr>
                <w:rFonts w:ascii="Arial" w:hAnsi="Arial" w:cs="Arial"/>
              </w:rPr>
            </w:pPr>
            <w:r>
              <w:rPr>
                <w:rFonts w:ascii="Arial" w:hAnsi="Arial" w:cs="Arial"/>
                <w:sz w:val="19"/>
                <w:szCs w:val="19"/>
              </w:rPr>
              <w:t>Isoleucine</w:t>
            </w:r>
          </w:p>
        </w:tc>
        <w:tc>
          <w:tcPr>
            <w:tcW w:w="2340" w:type="dxa"/>
            <w:tcBorders>
              <w:top w:val="nil"/>
              <w:left w:val="nil"/>
              <w:bottom w:val="nil"/>
              <w:right w:val="nil"/>
            </w:tcBorders>
            <w:tcMar>
              <w:top w:w="55" w:type="dxa"/>
              <w:left w:w="90" w:type="dxa"/>
              <w:bottom w:w="55" w:type="dxa"/>
              <w:right w:w="90" w:type="dxa"/>
            </w:tcMar>
            <w:vAlign w:val="center"/>
          </w:tcPr>
          <w:p w14:paraId="6D5142C5">
            <w:pPr>
              <w:spacing w:line="264" w:lineRule="auto"/>
              <w:jc w:val="center"/>
              <w:rPr>
                <w:rFonts w:ascii="Arial" w:hAnsi="Arial" w:cs="Arial"/>
              </w:rPr>
            </w:pPr>
            <w:r>
              <w:rPr>
                <w:rFonts w:ascii="Arial" w:hAnsi="Arial" w:cs="Arial"/>
                <w:sz w:val="19"/>
                <w:szCs w:val="19"/>
              </w:rPr>
              <w:t>2.63</w:t>
            </w:r>
          </w:p>
        </w:tc>
        <w:tc>
          <w:tcPr>
            <w:tcW w:w="2340" w:type="dxa"/>
            <w:tcBorders>
              <w:top w:val="nil"/>
              <w:left w:val="nil"/>
              <w:bottom w:val="nil"/>
              <w:right w:val="nil"/>
            </w:tcBorders>
            <w:tcMar>
              <w:top w:w="55" w:type="dxa"/>
              <w:left w:w="90" w:type="dxa"/>
              <w:bottom w:w="55" w:type="dxa"/>
              <w:right w:w="90" w:type="dxa"/>
            </w:tcMar>
            <w:vAlign w:val="center"/>
          </w:tcPr>
          <w:p w14:paraId="617B6D42">
            <w:pPr>
              <w:spacing w:line="264" w:lineRule="auto"/>
              <w:jc w:val="center"/>
              <w:rPr>
                <w:rFonts w:ascii="Arial" w:hAnsi="Arial" w:cs="Arial"/>
              </w:rPr>
            </w:pPr>
            <w:r>
              <w:rPr>
                <w:rFonts w:ascii="Arial" w:hAnsi="Arial" w:cs="Arial"/>
                <w:sz w:val="19"/>
                <w:szCs w:val="19"/>
              </w:rPr>
              <w:t>Glycine</w:t>
            </w:r>
          </w:p>
        </w:tc>
        <w:tc>
          <w:tcPr>
            <w:tcW w:w="2340" w:type="dxa"/>
            <w:tcBorders>
              <w:top w:val="nil"/>
              <w:left w:val="nil"/>
              <w:bottom w:val="nil"/>
              <w:right w:val="nil"/>
            </w:tcBorders>
            <w:tcMar>
              <w:top w:w="55" w:type="dxa"/>
              <w:left w:w="90" w:type="dxa"/>
              <w:bottom w:w="55" w:type="dxa"/>
              <w:right w:w="90" w:type="dxa"/>
            </w:tcMar>
            <w:vAlign w:val="center"/>
          </w:tcPr>
          <w:p w14:paraId="571B7A2E">
            <w:pPr>
              <w:spacing w:line="264" w:lineRule="auto"/>
              <w:jc w:val="center"/>
              <w:rPr>
                <w:rFonts w:ascii="Arial" w:hAnsi="Arial" w:cs="Arial"/>
              </w:rPr>
            </w:pPr>
            <w:r>
              <w:rPr>
                <w:rFonts w:ascii="Arial" w:hAnsi="Arial" w:cs="Arial"/>
                <w:sz w:val="19"/>
                <w:szCs w:val="19"/>
              </w:rPr>
              <w:t>2.39</w:t>
            </w:r>
          </w:p>
        </w:tc>
      </w:tr>
      <w:tr w14:paraId="78DF9B8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1626405E">
            <w:pPr>
              <w:spacing w:line="264" w:lineRule="auto"/>
              <w:jc w:val="center"/>
              <w:rPr>
                <w:rFonts w:ascii="Arial" w:hAnsi="Arial" w:cs="Arial"/>
              </w:rPr>
            </w:pPr>
            <w:r>
              <w:rPr>
                <w:rFonts w:ascii="Arial" w:hAnsi="Arial" w:cs="Arial"/>
                <w:sz w:val="19"/>
                <w:szCs w:val="19"/>
              </w:rPr>
              <w:t>Arginine</w:t>
            </w:r>
          </w:p>
        </w:tc>
        <w:tc>
          <w:tcPr>
            <w:tcW w:w="2340" w:type="dxa"/>
            <w:tcBorders>
              <w:top w:val="nil"/>
              <w:left w:val="nil"/>
              <w:bottom w:val="nil"/>
              <w:right w:val="nil"/>
            </w:tcBorders>
            <w:tcMar>
              <w:top w:w="55" w:type="dxa"/>
              <w:left w:w="90" w:type="dxa"/>
              <w:bottom w:w="55" w:type="dxa"/>
              <w:right w:w="90" w:type="dxa"/>
            </w:tcMar>
            <w:vAlign w:val="center"/>
          </w:tcPr>
          <w:p w14:paraId="54801563">
            <w:pPr>
              <w:spacing w:line="264" w:lineRule="auto"/>
              <w:jc w:val="center"/>
              <w:rPr>
                <w:rFonts w:ascii="Arial" w:hAnsi="Arial" w:cs="Arial"/>
              </w:rPr>
            </w:pPr>
            <w:r>
              <w:rPr>
                <w:rFonts w:ascii="Arial" w:hAnsi="Arial" w:cs="Arial"/>
                <w:sz w:val="19"/>
                <w:szCs w:val="19"/>
              </w:rPr>
              <w:t>3.93</w:t>
            </w:r>
          </w:p>
        </w:tc>
        <w:tc>
          <w:tcPr>
            <w:tcW w:w="2340" w:type="dxa"/>
            <w:tcBorders>
              <w:top w:val="nil"/>
              <w:left w:val="nil"/>
              <w:bottom w:val="nil"/>
              <w:right w:val="nil"/>
            </w:tcBorders>
            <w:tcMar>
              <w:top w:w="55" w:type="dxa"/>
              <w:left w:w="90" w:type="dxa"/>
              <w:bottom w:w="55" w:type="dxa"/>
              <w:right w:w="90" w:type="dxa"/>
            </w:tcMar>
            <w:vAlign w:val="center"/>
          </w:tcPr>
          <w:p w14:paraId="50C15C7E">
            <w:pPr>
              <w:spacing w:line="264" w:lineRule="auto"/>
              <w:jc w:val="center"/>
              <w:rPr>
                <w:rFonts w:ascii="Arial" w:hAnsi="Arial" w:cs="Arial"/>
              </w:rPr>
            </w:pPr>
            <w:r>
              <w:rPr>
                <w:rFonts w:ascii="Arial" w:hAnsi="Arial" w:cs="Arial"/>
                <w:sz w:val="19"/>
                <w:szCs w:val="19"/>
              </w:rPr>
              <w:t>Glutamic acid</w:t>
            </w:r>
          </w:p>
        </w:tc>
        <w:tc>
          <w:tcPr>
            <w:tcW w:w="2340" w:type="dxa"/>
            <w:tcBorders>
              <w:top w:val="nil"/>
              <w:left w:val="nil"/>
              <w:bottom w:val="nil"/>
              <w:right w:val="nil"/>
            </w:tcBorders>
            <w:tcMar>
              <w:top w:w="55" w:type="dxa"/>
              <w:left w:w="90" w:type="dxa"/>
              <w:bottom w:w="55" w:type="dxa"/>
              <w:right w:w="90" w:type="dxa"/>
            </w:tcMar>
            <w:vAlign w:val="center"/>
          </w:tcPr>
          <w:p w14:paraId="25062C56">
            <w:pPr>
              <w:spacing w:line="264" w:lineRule="auto"/>
              <w:jc w:val="center"/>
              <w:rPr>
                <w:rFonts w:ascii="Arial" w:hAnsi="Arial" w:cs="Arial"/>
              </w:rPr>
            </w:pPr>
            <w:r>
              <w:rPr>
                <w:rFonts w:ascii="Arial" w:hAnsi="Arial" w:cs="Arial"/>
                <w:sz w:val="19"/>
                <w:szCs w:val="19"/>
              </w:rPr>
              <w:t>10.32</w:t>
            </w:r>
          </w:p>
        </w:tc>
      </w:tr>
      <w:tr w14:paraId="4448C06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355F9F42">
            <w:pPr>
              <w:spacing w:line="264" w:lineRule="auto"/>
              <w:jc w:val="center"/>
              <w:rPr>
                <w:rFonts w:ascii="Arial" w:hAnsi="Arial" w:cs="Arial"/>
              </w:rPr>
            </w:pPr>
            <w:r>
              <w:rPr>
                <w:rFonts w:ascii="Arial" w:hAnsi="Arial" w:cs="Arial"/>
                <w:sz w:val="19"/>
                <w:szCs w:val="19"/>
              </w:rPr>
              <w:t>Lysine</w:t>
            </w:r>
          </w:p>
        </w:tc>
        <w:tc>
          <w:tcPr>
            <w:tcW w:w="2340" w:type="dxa"/>
            <w:tcBorders>
              <w:top w:val="nil"/>
              <w:left w:val="nil"/>
              <w:bottom w:val="nil"/>
              <w:right w:val="nil"/>
            </w:tcBorders>
            <w:tcMar>
              <w:top w:w="55" w:type="dxa"/>
              <w:left w:w="90" w:type="dxa"/>
              <w:bottom w:w="55" w:type="dxa"/>
              <w:right w:w="90" w:type="dxa"/>
            </w:tcMar>
            <w:vAlign w:val="center"/>
          </w:tcPr>
          <w:p w14:paraId="306D6671">
            <w:pPr>
              <w:spacing w:line="264" w:lineRule="auto"/>
              <w:jc w:val="center"/>
              <w:rPr>
                <w:rFonts w:ascii="Arial" w:hAnsi="Arial" w:cs="Arial"/>
              </w:rPr>
            </w:pPr>
            <w:r>
              <w:rPr>
                <w:rFonts w:ascii="Arial" w:hAnsi="Arial" w:cs="Arial"/>
                <w:sz w:val="19"/>
                <w:szCs w:val="19"/>
              </w:rPr>
              <w:t>3.54</w:t>
            </w:r>
          </w:p>
        </w:tc>
        <w:tc>
          <w:tcPr>
            <w:tcW w:w="2340" w:type="dxa"/>
            <w:tcBorders>
              <w:top w:val="nil"/>
              <w:left w:val="nil"/>
              <w:bottom w:val="nil"/>
              <w:right w:val="nil"/>
            </w:tcBorders>
            <w:tcMar>
              <w:top w:w="55" w:type="dxa"/>
              <w:left w:w="90" w:type="dxa"/>
              <w:bottom w:w="55" w:type="dxa"/>
              <w:right w:w="90" w:type="dxa"/>
            </w:tcMar>
            <w:vAlign w:val="center"/>
          </w:tcPr>
          <w:p w14:paraId="6FFFD11E">
            <w:pPr>
              <w:spacing w:line="264" w:lineRule="auto"/>
              <w:jc w:val="center"/>
              <w:rPr>
                <w:rFonts w:ascii="Arial" w:hAnsi="Arial" w:cs="Arial"/>
              </w:rPr>
            </w:pPr>
            <w:r>
              <w:rPr>
                <w:rFonts w:ascii="Arial" w:hAnsi="Arial" w:cs="Arial"/>
                <w:sz w:val="19"/>
                <w:szCs w:val="19"/>
              </w:rPr>
              <w:t>Histidine</w:t>
            </w:r>
          </w:p>
        </w:tc>
        <w:tc>
          <w:tcPr>
            <w:tcW w:w="2340" w:type="dxa"/>
            <w:tcBorders>
              <w:top w:val="nil"/>
              <w:left w:val="nil"/>
              <w:bottom w:val="nil"/>
              <w:right w:val="nil"/>
            </w:tcBorders>
            <w:tcMar>
              <w:top w:w="55" w:type="dxa"/>
              <w:left w:w="90" w:type="dxa"/>
              <w:bottom w:w="55" w:type="dxa"/>
              <w:right w:w="90" w:type="dxa"/>
            </w:tcMar>
            <w:vAlign w:val="center"/>
          </w:tcPr>
          <w:p w14:paraId="44066475">
            <w:pPr>
              <w:spacing w:line="264" w:lineRule="auto"/>
              <w:jc w:val="center"/>
              <w:rPr>
                <w:rFonts w:ascii="Arial" w:hAnsi="Arial" w:cs="Arial"/>
              </w:rPr>
            </w:pPr>
            <w:r>
              <w:rPr>
                <w:rFonts w:ascii="Arial" w:hAnsi="Arial" w:cs="Arial"/>
                <w:sz w:val="19"/>
                <w:szCs w:val="19"/>
              </w:rPr>
              <w:t>1.54</w:t>
            </w:r>
          </w:p>
        </w:tc>
      </w:tr>
      <w:tr w14:paraId="27EC69F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single" w:color="000000" w:sz="12" w:space="0"/>
              <w:right w:val="nil"/>
            </w:tcBorders>
            <w:tcMar>
              <w:top w:w="55" w:type="dxa"/>
              <w:left w:w="90" w:type="dxa"/>
              <w:bottom w:w="55" w:type="dxa"/>
              <w:right w:w="90" w:type="dxa"/>
            </w:tcMar>
            <w:vAlign w:val="center"/>
          </w:tcPr>
          <w:p w14:paraId="36094E50">
            <w:pPr>
              <w:spacing w:line="264" w:lineRule="auto"/>
              <w:jc w:val="center"/>
              <w:rPr>
                <w:rFonts w:ascii="Arial" w:hAnsi="Arial" w:cs="Arial"/>
              </w:rPr>
            </w:pPr>
            <w:r>
              <w:rPr>
                <w:rFonts w:ascii="Arial" w:hAnsi="Arial" w:cs="Arial"/>
                <w:sz w:val="19"/>
                <w:szCs w:val="19"/>
              </w:rPr>
              <w:t>Tryptophan</w:t>
            </w:r>
          </w:p>
        </w:tc>
        <w:tc>
          <w:tcPr>
            <w:tcW w:w="2340" w:type="dxa"/>
            <w:tcBorders>
              <w:top w:val="nil"/>
              <w:left w:val="nil"/>
              <w:bottom w:val="single" w:color="000000" w:sz="12" w:space="0"/>
              <w:right w:val="nil"/>
            </w:tcBorders>
            <w:tcMar>
              <w:top w:w="55" w:type="dxa"/>
              <w:left w:w="90" w:type="dxa"/>
              <w:bottom w:w="55" w:type="dxa"/>
              <w:right w:w="90" w:type="dxa"/>
            </w:tcMar>
            <w:vAlign w:val="center"/>
          </w:tcPr>
          <w:p w14:paraId="1E0E1D52">
            <w:pPr>
              <w:spacing w:line="264" w:lineRule="auto"/>
              <w:jc w:val="center"/>
              <w:rPr>
                <w:rFonts w:ascii="Arial" w:hAnsi="Arial" w:cs="Arial"/>
              </w:rPr>
            </w:pPr>
            <w:r>
              <w:rPr>
                <w:rFonts w:ascii="Arial" w:hAnsi="Arial" w:cs="Arial"/>
                <w:sz w:val="19"/>
                <w:szCs w:val="19"/>
              </w:rPr>
              <w:t>0.52</w:t>
            </w:r>
          </w:p>
        </w:tc>
        <w:tc>
          <w:tcPr>
            <w:tcW w:w="2340" w:type="dxa"/>
            <w:tcBorders>
              <w:top w:val="nil"/>
              <w:left w:val="nil"/>
              <w:bottom w:val="single" w:color="000000" w:sz="12" w:space="0"/>
              <w:right w:val="nil"/>
            </w:tcBorders>
            <w:tcMar>
              <w:top w:w="55" w:type="dxa"/>
              <w:left w:w="90" w:type="dxa"/>
              <w:bottom w:w="55" w:type="dxa"/>
              <w:right w:w="90" w:type="dxa"/>
            </w:tcMar>
            <w:vAlign w:val="center"/>
          </w:tcPr>
          <w:p w14:paraId="1E87867E">
            <w:pPr>
              <w:spacing w:line="264" w:lineRule="auto"/>
              <w:jc w:val="center"/>
              <w:rPr>
                <w:rFonts w:ascii="Arial" w:hAnsi="Arial" w:cs="Arial"/>
              </w:rPr>
            </w:pPr>
            <w:r>
              <w:rPr>
                <w:rFonts w:ascii="Arial" w:hAnsi="Arial" w:cs="Arial"/>
                <w:b/>
                <w:sz w:val="19"/>
                <w:szCs w:val="19"/>
              </w:rPr>
              <w:t>Total amino acids</w:t>
            </w:r>
          </w:p>
        </w:tc>
        <w:tc>
          <w:tcPr>
            <w:tcW w:w="2340" w:type="dxa"/>
            <w:tcBorders>
              <w:top w:val="nil"/>
              <w:left w:val="nil"/>
              <w:bottom w:val="single" w:color="000000" w:sz="12" w:space="0"/>
              <w:right w:val="nil"/>
            </w:tcBorders>
            <w:tcMar>
              <w:top w:w="55" w:type="dxa"/>
              <w:left w:w="90" w:type="dxa"/>
              <w:bottom w:w="55" w:type="dxa"/>
              <w:right w:w="90" w:type="dxa"/>
            </w:tcMar>
            <w:vAlign w:val="center"/>
          </w:tcPr>
          <w:p w14:paraId="503F4FFC">
            <w:pPr>
              <w:spacing w:line="264" w:lineRule="auto"/>
              <w:jc w:val="center"/>
              <w:rPr>
                <w:rFonts w:ascii="Arial" w:hAnsi="Arial" w:cs="Arial"/>
              </w:rPr>
            </w:pPr>
            <w:r>
              <w:rPr>
                <w:rFonts w:ascii="Arial" w:hAnsi="Arial" w:cs="Arial"/>
                <w:b/>
                <w:sz w:val="19"/>
                <w:szCs w:val="19"/>
              </w:rPr>
              <w:t>53.25</w:t>
            </w:r>
          </w:p>
        </w:tc>
      </w:tr>
    </w:tbl>
    <w:p w14:paraId="33A8EB8A">
      <w:pPr>
        <w:spacing w:before="50" w:after="60"/>
        <w:rPr>
          <w:rFonts w:ascii="Arial" w:hAnsi="Arial" w:cs="Arial"/>
        </w:rPr>
      </w:pPr>
      <w:r>
        <w:rPr>
          <w:rFonts w:ascii="Arial" w:hAnsi="Arial" w:cs="Arial"/>
          <w:sz w:val="17"/>
          <w:szCs w:val="17"/>
        </w:rPr>
        <w:t>Note: These data are from third</w:t>
      </w:r>
      <w:r>
        <w:rPr>
          <w:rFonts w:ascii="Cambria Math" w:hAnsi="Cambria Math" w:cs="Cambria Math"/>
          <w:sz w:val="17"/>
          <w:szCs w:val="17"/>
        </w:rPr>
        <w:t>‑</w:t>
      </w:r>
      <w:r>
        <w:rPr>
          <w:rFonts w:ascii="Arial" w:hAnsi="Arial" w:cs="Arial"/>
          <w:sz w:val="17"/>
          <w:szCs w:val="17"/>
        </w:rPr>
        <w:t>party testing and are for reference only.</w:t>
      </w:r>
    </w:p>
    <w:p w14:paraId="7260CE51">
      <w:pPr>
        <w:spacing w:before="190" w:after="80"/>
        <w:outlineLvl w:val="1"/>
        <w:rPr>
          <w:rFonts w:ascii="Arial" w:hAnsi="Arial" w:cs="Arial"/>
        </w:rPr>
      </w:pPr>
      <w:r>
        <w:rPr>
          <w:rFonts w:ascii="Arial" w:hAnsi="Arial" w:eastAsia="黑体" w:cs="Arial"/>
          <w:b/>
          <w:sz w:val="24"/>
          <w:szCs w:val="24"/>
        </w:rPr>
        <w:t>4.3 Minerals and Trace Elements</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340"/>
        <w:gridCol w:w="2340"/>
        <w:gridCol w:w="2340"/>
        <w:gridCol w:w="2340"/>
      </w:tblGrid>
      <w:tr w14:paraId="18CEF98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06D7FAAE">
            <w:pPr>
              <w:spacing w:line="264" w:lineRule="auto"/>
              <w:jc w:val="center"/>
              <w:rPr>
                <w:rFonts w:ascii="Arial" w:hAnsi="Arial" w:cs="Arial"/>
              </w:rPr>
            </w:pPr>
            <w:r>
              <w:rPr>
                <w:rFonts w:ascii="Arial" w:hAnsi="Arial" w:cs="Arial"/>
                <w:b/>
                <w:sz w:val="20"/>
                <w:szCs w:val="20"/>
              </w:rPr>
              <w:t>Element</w:t>
            </w:r>
          </w:p>
        </w:tc>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26B8A56D">
            <w:pPr>
              <w:spacing w:line="264" w:lineRule="auto"/>
              <w:jc w:val="center"/>
              <w:rPr>
                <w:rFonts w:ascii="Arial" w:hAnsi="Arial" w:cs="Arial"/>
              </w:rPr>
            </w:pPr>
            <w:r>
              <w:rPr>
                <w:rFonts w:ascii="Arial" w:hAnsi="Arial" w:cs="Arial"/>
                <w:b/>
                <w:sz w:val="20"/>
                <w:szCs w:val="20"/>
              </w:rPr>
              <w:t>Content</w:t>
            </w:r>
          </w:p>
        </w:tc>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4AF13A0">
            <w:pPr>
              <w:spacing w:line="264" w:lineRule="auto"/>
              <w:jc w:val="center"/>
              <w:rPr>
                <w:rFonts w:ascii="Arial" w:hAnsi="Arial" w:cs="Arial"/>
              </w:rPr>
            </w:pPr>
            <w:r>
              <w:rPr>
                <w:rFonts w:ascii="Arial" w:hAnsi="Arial" w:cs="Arial"/>
                <w:b/>
                <w:sz w:val="20"/>
                <w:szCs w:val="20"/>
              </w:rPr>
              <w:t>Element</w:t>
            </w:r>
          </w:p>
        </w:tc>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B90B07A">
            <w:pPr>
              <w:spacing w:line="264" w:lineRule="auto"/>
              <w:jc w:val="center"/>
              <w:rPr>
                <w:rFonts w:ascii="Arial" w:hAnsi="Arial" w:cs="Arial"/>
              </w:rPr>
            </w:pPr>
            <w:r>
              <w:rPr>
                <w:rFonts w:ascii="Arial" w:hAnsi="Arial" w:cs="Arial"/>
                <w:b/>
                <w:sz w:val="20"/>
                <w:szCs w:val="20"/>
              </w:rPr>
              <w:t>Content</w:t>
            </w:r>
          </w:p>
        </w:tc>
      </w:tr>
      <w:tr w14:paraId="1BD7E4B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5746CB1D">
            <w:pPr>
              <w:spacing w:line="264" w:lineRule="auto"/>
              <w:jc w:val="center"/>
              <w:rPr>
                <w:rFonts w:ascii="Arial" w:hAnsi="Arial" w:cs="Arial"/>
              </w:rPr>
            </w:pPr>
            <w:r>
              <w:rPr>
                <w:rFonts w:ascii="Arial" w:hAnsi="Arial" w:cs="Arial"/>
                <w:sz w:val="19"/>
                <w:szCs w:val="19"/>
              </w:rPr>
              <w:t>Calcium (Ca)</w:t>
            </w:r>
          </w:p>
        </w:tc>
        <w:tc>
          <w:tcPr>
            <w:tcW w:w="2340" w:type="dxa"/>
            <w:tcBorders>
              <w:top w:val="nil"/>
              <w:left w:val="nil"/>
              <w:bottom w:val="nil"/>
              <w:right w:val="nil"/>
            </w:tcBorders>
            <w:tcMar>
              <w:top w:w="55" w:type="dxa"/>
              <w:left w:w="90" w:type="dxa"/>
              <w:bottom w:w="55" w:type="dxa"/>
              <w:right w:w="90" w:type="dxa"/>
            </w:tcMar>
            <w:vAlign w:val="center"/>
          </w:tcPr>
          <w:p w14:paraId="51EAFE09">
            <w:pPr>
              <w:spacing w:line="264" w:lineRule="auto"/>
              <w:jc w:val="center"/>
              <w:rPr>
                <w:rFonts w:ascii="Arial" w:hAnsi="Arial" w:cs="Arial"/>
              </w:rPr>
            </w:pPr>
            <w:r>
              <w:rPr>
                <w:rFonts w:ascii="Arial" w:hAnsi="Arial" w:cs="Arial"/>
                <w:sz w:val="19"/>
                <w:szCs w:val="19"/>
              </w:rPr>
              <w:t>0.29 %</w:t>
            </w:r>
          </w:p>
        </w:tc>
        <w:tc>
          <w:tcPr>
            <w:tcW w:w="2340" w:type="dxa"/>
            <w:tcBorders>
              <w:top w:val="nil"/>
              <w:left w:val="nil"/>
              <w:bottom w:val="nil"/>
              <w:right w:val="nil"/>
            </w:tcBorders>
            <w:tcMar>
              <w:top w:w="55" w:type="dxa"/>
              <w:left w:w="90" w:type="dxa"/>
              <w:bottom w:w="55" w:type="dxa"/>
              <w:right w:w="90" w:type="dxa"/>
            </w:tcMar>
            <w:vAlign w:val="center"/>
          </w:tcPr>
          <w:p w14:paraId="3F208BB1">
            <w:pPr>
              <w:spacing w:line="264" w:lineRule="auto"/>
              <w:jc w:val="center"/>
              <w:rPr>
                <w:rFonts w:ascii="Arial" w:hAnsi="Arial" w:cs="Arial"/>
              </w:rPr>
            </w:pPr>
            <w:r>
              <w:rPr>
                <w:rFonts w:ascii="Arial" w:hAnsi="Arial" w:cs="Arial"/>
                <w:sz w:val="19"/>
                <w:szCs w:val="19"/>
              </w:rPr>
              <w:t>Iron (Fe)</w:t>
            </w:r>
          </w:p>
        </w:tc>
        <w:tc>
          <w:tcPr>
            <w:tcW w:w="2340" w:type="dxa"/>
            <w:tcBorders>
              <w:top w:val="nil"/>
              <w:left w:val="nil"/>
              <w:bottom w:val="nil"/>
              <w:right w:val="nil"/>
            </w:tcBorders>
            <w:tcMar>
              <w:top w:w="55" w:type="dxa"/>
              <w:left w:w="90" w:type="dxa"/>
              <w:bottom w:w="55" w:type="dxa"/>
              <w:right w:w="90" w:type="dxa"/>
            </w:tcMar>
            <w:vAlign w:val="center"/>
          </w:tcPr>
          <w:p w14:paraId="5E9BD8C5">
            <w:pPr>
              <w:spacing w:line="264" w:lineRule="auto"/>
              <w:jc w:val="center"/>
              <w:rPr>
                <w:rFonts w:ascii="Arial" w:hAnsi="Arial" w:cs="Arial"/>
              </w:rPr>
            </w:pPr>
            <w:r>
              <w:rPr>
                <w:rFonts w:ascii="Arial" w:hAnsi="Arial" w:cs="Arial"/>
                <w:sz w:val="19"/>
                <w:szCs w:val="19"/>
              </w:rPr>
              <w:t>190 mg/kg</w:t>
            </w:r>
          </w:p>
        </w:tc>
      </w:tr>
      <w:tr w14:paraId="4E2F056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446F2B6F">
            <w:pPr>
              <w:spacing w:line="264" w:lineRule="auto"/>
              <w:jc w:val="center"/>
              <w:rPr>
                <w:rFonts w:ascii="Arial" w:hAnsi="Arial" w:cs="Arial"/>
              </w:rPr>
            </w:pPr>
            <w:r>
              <w:rPr>
                <w:rFonts w:ascii="Arial" w:hAnsi="Arial" w:cs="Arial"/>
                <w:sz w:val="19"/>
                <w:szCs w:val="19"/>
              </w:rPr>
              <w:t>Total phosphorus (P)</w:t>
            </w:r>
          </w:p>
        </w:tc>
        <w:tc>
          <w:tcPr>
            <w:tcW w:w="2340" w:type="dxa"/>
            <w:tcBorders>
              <w:top w:val="nil"/>
              <w:left w:val="nil"/>
              <w:bottom w:val="nil"/>
              <w:right w:val="nil"/>
            </w:tcBorders>
            <w:tcMar>
              <w:top w:w="55" w:type="dxa"/>
              <w:left w:w="90" w:type="dxa"/>
              <w:bottom w:w="55" w:type="dxa"/>
              <w:right w:w="90" w:type="dxa"/>
            </w:tcMar>
            <w:vAlign w:val="center"/>
          </w:tcPr>
          <w:p w14:paraId="77E21611">
            <w:pPr>
              <w:spacing w:line="264" w:lineRule="auto"/>
              <w:jc w:val="center"/>
              <w:rPr>
                <w:rFonts w:ascii="Arial" w:hAnsi="Arial" w:cs="Arial"/>
              </w:rPr>
            </w:pPr>
            <w:r>
              <w:rPr>
                <w:rFonts w:ascii="Arial" w:hAnsi="Arial" w:cs="Arial"/>
                <w:sz w:val="19"/>
                <w:szCs w:val="19"/>
              </w:rPr>
              <w:t>0.76 %</w:t>
            </w:r>
          </w:p>
        </w:tc>
        <w:tc>
          <w:tcPr>
            <w:tcW w:w="2340" w:type="dxa"/>
            <w:tcBorders>
              <w:top w:val="nil"/>
              <w:left w:val="nil"/>
              <w:bottom w:val="nil"/>
              <w:right w:val="nil"/>
            </w:tcBorders>
            <w:tcMar>
              <w:top w:w="55" w:type="dxa"/>
              <w:left w:w="90" w:type="dxa"/>
              <w:bottom w:w="55" w:type="dxa"/>
              <w:right w:w="90" w:type="dxa"/>
            </w:tcMar>
            <w:vAlign w:val="center"/>
          </w:tcPr>
          <w:p w14:paraId="377574BA">
            <w:pPr>
              <w:spacing w:line="264" w:lineRule="auto"/>
              <w:jc w:val="center"/>
              <w:rPr>
                <w:rFonts w:ascii="Arial" w:hAnsi="Arial" w:cs="Arial"/>
              </w:rPr>
            </w:pPr>
            <w:r>
              <w:rPr>
                <w:rFonts w:ascii="Arial" w:hAnsi="Arial" w:cs="Arial"/>
                <w:sz w:val="19"/>
                <w:szCs w:val="19"/>
              </w:rPr>
              <w:t>Zinc (Zn)</w:t>
            </w:r>
          </w:p>
        </w:tc>
        <w:tc>
          <w:tcPr>
            <w:tcW w:w="2340" w:type="dxa"/>
            <w:tcBorders>
              <w:top w:val="nil"/>
              <w:left w:val="nil"/>
              <w:bottom w:val="nil"/>
              <w:right w:val="nil"/>
            </w:tcBorders>
            <w:tcMar>
              <w:top w:w="55" w:type="dxa"/>
              <w:left w:w="90" w:type="dxa"/>
              <w:bottom w:w="55" w:type="dxa"/>
              <w:right w:w="90" w:type="dxa"/>
            </w:tcMar>
            <w:vAlign w:val="center"/>
          </w:tcPr>
          <w:p w14:paraId="300BC270">
            <w:pPr>
              <w:spacing w:line="264" w:lineRule="auto"/>
              <w:jc w:val="center"/>
              <w:rPr>
                <w:rFonts w:ascii="Arial" w:hAnsi="Arial" w:cs="Arial"/>
              </w:rPr>
            </w:pPr>
            <w:r>
              <w:rPr>
                <w:rFonts w:ascii="Arial" w:hAnsi="Arial" w:cs="Arial"/>
                <w:sz w:val="19"/>
                <w:szCs w:val="19"/>
              </w:rPr>
              <w:t>52 mg/kg</w:t>
            </w:r>
          </w:p>
        </w:tc>
      </w:tr>
      <w:tr w14:paraId="1F3FBFE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7CEE00AC">
            <w:pPr>
              <w:spacing w:line="264" w:lineRule="auto"/>
              <w:jc w:val="center"/>
              <w:rPr>
                <w:rFonts w:ascii="Arial" w:hAnsi="Arial" w:cs="Arial"/>
              </w:rPr>
            </w:pPr>
            <w:r>
              <w:rPr>
                <w:rFonts w:ascii="Arial" w:hAnsi="Arial" w:cs="Arial"/>
                <w:sz w:val="19"/>
                <w:szCs w:val="19"/>
              </w:rPr>
              <w:t>Potassium (K)</w:t>
            </w:r>
          </w:p>
        </w:tc>
        <w:tc>
          <w:tcPr>
            <w:tcW w:w="2340" w:type="dxa"/>
            <w:tcBorders>
              <w:top w:val="nil"/>
              <w:left w:val="nil"/>
              <w:bottom w:val="nil"/>
              <w:right w:val="nil"/>
            </w:tcBorders>
            <w:tcMar>
              <w:top w:w="55" w:type="dxa"/>
              <w:left w:w="90" w:type="dxa"/>
              <w:bottom w:w="55" w:type="dxa"/>
              <w:right w:w="90" w:type="dxa"/>
            </w:tcMar>
            <w:vAlign w:val="center"/>
          </w:tcPr>
          <w:p w14:paraId="519CCDA7">
            <w:pPr>
              <w:spacing w:line="264" w:lineRule="auto"/>
              <w:jc w:val="center"/>
              <w:rPr>
                <w:rFonts w:ascii="Arial" w:hAnsi="Arial" w:cs="Arial"/>
              </w:rPr>
            </w:pPr>
            <w:r>
              <w:rPr>
                <w:rFonts w:ascii="Arial" w:hAnsi="Arial" w:cs="Arial"/>
                <w:sz w:val="19"/>
                <w:szCs w:val="19"/>
              </w:rPr>
              <w:t>2.4 %</w:t>
            </w:r>
          </w:p>
        </w:tc>
        <w:tc>
          <w:tcPr>
            <w:tcW w:w="2340" w:type="dxa"/>
            <w:tcBorders>
              <w:top w:val="nil"/>
              <w:left w:val="nil"/>
              <w:bottom w:val="nil"/>
              <w:right w:val="nil"/>
            </w:tcBorders>
            <w:tcMar>
              <w:top w:w="55" w:type="dxa"/>
              <w:left w:w="90" w:type="dxa"/>
              <w:bottom w:w="55" w:type="dxa"/>
              <w:right w:w="90" w:type="dxa"/>
            </w:tcMar>
            <w:vAlign w:val="center"/>
          </w:tcPr>
          <w:p w14:paraId="078A7396">
            <w:pPr>
              <w:spacing w:line="264" w:lineRule="auto"/>
              <w:jc w:val="center"/>
              <w:rPr>
                <w:rFonts w:ascii="Arial" w:hAnsi="Arial" w:cs="Arial"/>
              </w:rPr>
            </w:pPr>
            <w:r>
              <w:rPr>
                <w:rFonts w:ascii="Arial" w:hAnsi="Arial" w:cs="Arial"/>
                <w:sz w:val="19"/>
                <w:szCs w:val="19"/>
              </w:rPr>
              <w:t>Manganese (Mn)</w:t>
            </w:r>
          </w:p>
        </w:tc>
        <w:tc>
          <w:tcPr>
            <w:tcW w:w="2340" w:type="dxa"/>
            <w:tcBorders>
              <w:top w:val="nil"/>
              <w:left w:val="nil"/>
              <w:bottom w:val="nil"/>
              <w:right w:val="nil"/>
            </w:tcBorders>
            <w:tcMar>
              <w:top w:w="55" w:type="dxa"/>
              <w:left w:w="90" w:type="dxa"/>
              <w:bottom w:w="55" w:type="dxa"/>
              <w:right w:w="90" w:type="dxa"/>
            </w:tcMar>
            <w:vAlign w:val="center"/>
          </w:tcPr>
          <w:p w14:paraId="6580F4E4">
            <w:pPr>
              <w:spacing w:line="264" w:lineRule="auto"/>
              <w:jc w:val="center"/>
              <w:rPr>
                <w:rFonts w:ascii="Arial" w:hAnsi="Arial" w:cs="Arial"/>
              </w:rPr>
            </w:pPr>
            <w:r>
              <w:rPr>
                <w:rFonts w:ascii="Arial" w:hAnsi="Arial" w:cs="Arial"/>
                <w:sz w:val="19"/>
                <w:szCs w:val="19"/>
              </w:rPr>
              <w:t>37 mg/kg</w:t>
            </w:r>
          </w:p>
        </w:tc>
      </w:tr>
      <w:tr w14:paraId="347E1E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6BB191B3">
            <w:pPr>
              <w:spacing w:line="264" w:lineRule="auto"/>
              <w:jc w:val="center"/>
              <w:rPr>
                <w:rFonts w:ascii="Arial" w:hAnsi="Arial" w:cs="Arial"/>
              </w:rPr>
            </w:pPr>
            <w:r>
              <w:rPr>
                <w:rFonts w:ascii="Arial" w:hAnsi="Arial" w:cs="Arial"/>
                <w:sz w:val="19"/>
                <w:szCs w:val="19"/>
              </w:rPr>
              <w:t>Magnesium (Mg)</w:t>
            </w:r>
          </w:p>
        </w:tc>
        <w:tc>
          <w:tcPr>
            <w:tcW w:w="2340" w:type="dxa"/>
            <w:tcBorders>
              <w:top w:val="nil"/>
              <w:left w:val="nil"/>
              <w:bottom w:val="nil"/>
              <w:right w:val="nil"/>
            </w:tcBorders>
            <w:tcMar>
              <w:top w:w="55" w:type="dxa"/>
              <w:left w:w="90" w:type="dxa"/>
              <w:bottom w:w="55" w:type="dxa"/>
              <w:right w:w="90" w:type="dxa"/>
            </w:tcMar>
            <w:vAlign w:val="center"/>
          </w:tcPr>
          <w:p w14:paraId="162F743E">
            <w:pPr>
              <w:spacing w:line="264" w:lineRule="auto"/>
              <w:jc w:val="center"/>
              <w:rPr>
                <w:rFonts w:ascii="Arial" w:hAnsi="Arial" w:cs="Arial"/>
              </w:rPr>
            </w:pPr>
            <w:r>
              <w:rPr>
                <w:rFonts w:ascii="Arial" w:hAnsi="Arial" w:cs="Arial"/>
                <w:sz w:val="19"/>
                <w:szCs w:val="19"/>
              </w:rPr>
              <w:t>0.32 %</w:t>
            </w:r>
          </w:p>
        </w:tc>
        <w:tc>
          <w:tcPr>
            <w:tcW w:w="2340" w:type="dxa"/>
            <w:tcBorders>
              <w:top w:val="nil"/>
              <w:left w:val="nil"/>
              <w:bottom w:val="nil"/>
              <w:right w:val="nil"/>
            </w:tcBorders>
            <w:tcMar>
              <w:top w:w="55" w:type="dxa"/>
              <w:left w:w="90" w:type="dxa"/>
              <w:bottom w:w="55" w:type="dxa"/>
              <w:right w:w="90" w:type="dxa"/>
            </w:tcMar>
            <w:vAlign w:val="center"/>
          </w:tcPr>
          <w:p w14:paraId="358B3DE0">
            <w:pPr>
              <w:spacing w:line="264" w:lineRule="auto"/>
              <w:jc w:val="center"/>
              <w:rPr>
                <w:rFonts w:ascii="Arial" w:hAnsi="Arial" w:cs="Arial"/>
              </w:rPr>
            </w:pPr>
            <w:r>
              <w:rPr>
                <w:rFonts w:ascii="Arial" w:hAnsi="Arial" w:cs="Arial"/>
                <w:sz w:val="19"/>
                <w:szCs w:val="19"/>
              </w:rPr>
              <w:t>Copper (Cu)</w:t>
            </w:r>
          </w:p>
        </w:tc>
        <w:tc>
          <w:tcPr>
            <w:tcW w:w="2340" w:type="dxa"/>
            <w:tcBorders>
              <w:top w:val="nil"/>
              <w:left w:val="nil"/>
              <w:bottom w:val="nil"/>
              <w:right w:val="nil"/>
            </w:tcBorders>
            <w:tcMar>
              <w:top w:w="55" w:type="dxa"/>
              <w:left w:w="90" w:type="dxa"/>
              <w:bottom w:w="55" w:type="dxa"/>
              <w:right w:w="90" w:type="dxa"/>
            </w:tcMar>
            <w:vAlign w:val="center"/>
          </w:tcPr>
          <w:p w14:paraId="39D17B90">
            <w:pPr>
              <w:spacing w:line="264" w:lineRule="auto"/>
              <w:jc w:val="center"/>
              <w:rPr>
                <w:rFonts w:ascii="Arial" w:hAnsi="Arial" w:cs="Arial"/>
              </w:rPr>
            </w:pPr>
            <w:r>
              <w:rPr>
                <w:rFonts w:ascii="Arial" w:hAnsi="Arial" w:cs="Arial"/>
                <w:sz w:val="19"/>
                <w:szCs w:val="19"/>
              </w:rPr>
              <w:t>16 mg/kg</w:t>
            </w:r>
          </w:p>
        </w:tc>
      </w:tr>
      <w:tr w14:paraId="409F3EE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single" w:color="000000" w:sz="12" w:space="0"/>
              <w:right w:val="nil"/>
            </w:tcBorders>
            <w:tcMar>
              <w:top w:w="55" w:type="dxa"/>
              <w:left w:w="90" w:type="dxa"/>
              <w:bottom w:w="55" w:type="dxa"/>
              <w:right w:w="90" w:type="dxa"/>
            </w:tcMar>
            <w:vAlign w:val="center"/>
          </w:tcPr>
          <w:p w14:paraId="65597107">
            <w:pPr>
              <w:spacing w:line="264" w:lineRule="auto"/>
              <w:jc w:val="center"/>
              <w:rPr>
                <w:rFonts w:ascii="Arial" w:hAnsi="Arial" w:cs="Arial"/>
              </w:rPr>
            </w:pPr>
            <w:r>
              <w:rPr>
                <w:rFonts w:ascii="Arial" w:hAnsi="Arial" w:cs="Arial"/>
                <w:sz w:val="19"/>
                <w:szCs w:val="19"/>
              </w:rPr>
              <w:t>Sodium (Na)</w:t>
            </w:r>
          </w:p>
        </w:tc>
        <w:tc>
          <w:tcPr>
            <w:tcW w:w="2340" w:type="dxa"/>
            <w:tcBorders>
              <w:top w:val="nil"/>
              <w:left w:val="nil"/>
              <w:bottom w:val="single" w:color="000000" w:sz="12" w:space="0"/>
              <w:right w:val="nil"/>
            </w:tcBorders>
            <w:tcMar>
              <w:top w:w="55" w:type="dxa"/>
              <w:left w:w="90" w:type="dxa"/>
              <w:bottom w:w="55" w:type="dxa"/>
              <w:right w:w="90" w:type="dxa"/>
            </w:tcMar>
            <w:vAlign w:val="center"/>
          </w:tcPr>
          <w:p w14:paraId="335205F7">
            <w:pPr>
              <w:spacing w:line="264" w:lineRule="auto"/>
              <w:jc w:val="center"/>
              <w:rPr>
                <w:rFonts w:ascii="Arial" w:hAnsi="Arial" w:cs="Arial"/>
              </w:rPr>
            </w:pPr>
            <w:r>
              <w:rPr>
                <w:rFonts w:ascii="Arial" w:hAnsi="Arial" w:cs="Arial"/>
                <w:sz w:val="19"/>
                <w:szCs w:val="19"/>
              </w:rPr>
              <w:t>890 mg/kg</w:t>
            </w:r>
          </w:p>
        </w:tc>
        <w:tc>
          <w:tcPr>
            <w:tcW w:w="2340" w:type="dxa"/>
            <w:tcBorders>
              <w:top w:val="nil"/>
              <w:left w:val="nil"/>
              <w:bottom w:val="single" w:color="000000" w:sz="12" w:space="0"/>
              <w:right w:val="nil"/>
            </w:tcBorders>
            <w:tcMar>
              <w:top w:w="55" w:type="dxa"/>
              <w:left w:w="90" w:type="dxa"/>
              <w:bottom w:w="55" w:type="dxa"/>
              <w:right w:w="90" w:type="dxa"/>
            </w:tcMar>
            <w:vAlign w:val="center"/>
          </w:tcPr>
          <w:p w14:paraId="6CBBA833">
            <w:pPr>
              <w:spacing w:line="264" w:lineRule="auto"/>
              <w:jc w:val="center"/>
              <w:rPr>
                <w:rFonts w:ascii="Arial" w:hAnsi="Arial" w:cs="Arial"/>
              </w:rPr>
            </w:pPr>
            <w:r>
              <w:rPr>
                <w:rFonts w:ascii="Arial" w:hAnsi="Arial" w:cs="Arial"/>
                <w:sz w:val="19"/>
                <w:szCs w:val="19"/>
              </w:rPr>
              <w:t>Sulfur (S)</w:t>
            </w:r>
          </w:p>
        </w:tc>
        <w:tc>
          <w:tcPr>
            <w:tcW w:w="2340" w:type="dxa"/>
            <w:tcBorders>
              <w:top w:val="nil"/>
              <w:left w:val="nil"/>
              <w:bottom w:val="single" w:color="000000" w:sz="12" w:space="0"/>
              <w:right w:val="nil"/>
            </w:tcBorders>
            <w:tcMar>
              <w:top w:w="55" w:type="dxa"/>
              <w:left w:w="90" w:type="dxa"/>
              <w:bottom w:w="55" w:type="dxa"/>
              <w:right w:w="90" w:type="dxa"/>
            </w:tcMar>
            <w:vAlign w:val="center"/>
          </w:tcPr>
          <w:p w14:paraId="763093B3">
            <w:pPr>
              <w:spacing w:line="264" w:lineRule="auto"/>
              <w:jc w:val="center"/>
              <w:rPr>
                <w:rFonts w:ascii="Arial" w:hAnsi="Arial" w:cs="Arial"/>
              </w:rPr>
            </w:pPr>
            <w:r>
              <w:rPr>
                <w:rFonts w:ascii="Arial" w:hAnsi="Arial" w:cs="Arial"/>
                <w:sz w:val="19"/>
                <w:szCs w:val="19"/>
              </w:rPr>
              <w:t>0.39 %</w:t>
            </w:r>
          </w:p>
        </w:tc>
      </w:tr>
    </w:tbl>
    <w:p w14:paraId="383BF32A">
      <w:pPr>
        <w:spacing w:before="50" w:after="60"/>
        <w:rPr>
          <w:rFonts w:ascii="Arial" w:hAnsi="Arial" w:cs="Arial"/>
        </w:rPr>
      </w:pPr>
      <w:r>
        <w:rPr>
          <w:rFonts w:ascii="Arial" w:hAnsi="Arial" w:cs="Arial"/>
          <w:sz w:val="17"/>
          <w:szCs w:val="17"/>
        </w:rPr>
        <w:t>Note: Mineral data are from third</w:t>
      </w:r>
      <w:r>
        <w:rPr>
          <w:rFonts w:ascii="Cambria Math" w:hAnsi="Cambria Math" w:cs="Cambria Math"/>
          <w:sz w:val="17"/>
          <w:szCs w:val="17"/>
        </w:rPr>
        <w:t>‑</w:t>
      </w:r>
      <w:r>
        <w:rPr>
          <w:rFonts w:ascii="Arial" w:hAnsi="Arial" w:cs="Arial"/>
          <w:sz w:val="17"/>
          <w:szCs w:val="17"/>
        </w:rPr>
        <w:t>party test reports; mercury, lead, cadmium, fluorine, and tin were all not detected.</w:t>
      </w:r>
    </w:p>
    <w:p w14:paraId="6EEC594A">
      <w:pPr>
        <w:spacing w:before="190" w:after="80"/>
        <w:outlineLvl w:val="1"/>
        <w:rPr>
          <w:rFonts w:ascii="Arial" w:hAnsi="Arial" w:cs="Arial"/>
        </w:rPr>
      </w:pPr>
      <w:r>
        <w:rPr>
          <w:rFonts w:ascii="Arial" w:hAnsi="Arial" w:eastAsia="黑体" w:cs="Arial"/>
          <w:b/>
          <w:sz w:val="24"/>
          <w:szCs w:val="24"/>
        </w:rPr>
        <w:t>4.4 Safety Parameters</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340"/>
        <w:gridCol w:w="7020"/>
      </w:tblGrid>
      <w:tr w14:paraId="3E0A1D2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7C2A4D36">
            <w:pPr>
              <w:spacing w:line="264" w:lineRule="auto"/>
              <w:jc w:val="left"/>
              <w:rPr>
                <w:rFonts w:ascii="Arial" w:hAnsi="Arial" w:cs="Arial"/>
              </w:rPr>
            </w:pPr>
            <w:r>
              <w:rPr>
                <w:rFonts w:ascii="Arial" w:hAnsi="Arial" w:cs="Arial"/>
                <w:b/>
                <w:sz w:val="20"/>
                <w:szCs w:val="20"/>
              </w:rPr>
              <w:t>Category</w:t>
            </w:r>
          </w:p>
        </w:tc>
        <w:tc>
          <w:tcPr>
            <w:tcW w:w="702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7DE10F05">
            <w:pPr>
              <w:spacing w:line="264" w:lineRule="auto"/>
              <w:jc w:val="left"/>
              <w:rPr>
                <w:rFonts w:ascii="Arial" w:hAnsi="Arial" w:cs="Arial"/>
              </w:rPr>
            </w:pPr>
            <w:r>
              <w:rPr>
                <w:rFonts w:ascii="Arial" w:hAnsi="Arial" w:cs="Arial"/>
                <w:b/>
                <w:sz w:val="20"/>
                <w:szCs w:val="20"/>
              </w:rPr>
              <w:t>Test Result</w:t>
            </w:r>
          </w:p>
        </w:tc>
      </w:tr>
      <w:tr w14:paraId="7896116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250CBE54">
            <w:pPr>
              <w:spacing w:line="264" w:lineRule="auto"/>
              <w:jc w:val="left"/>
              <w:rPr>
                <w:rFonts w:ascii="Arial" w:hAnsi="Arial" w:cs="Arial"/>
              </w:rPr>
            </w:pPr>
            <w:r>
              <w:rPr>
                <w:rFonts w:ascii="Arial" w:hAnsi="Arial" w:cs="Arial"/>
                <w:b/>
                <w:sz w:val="19"/>
                <w:szCs w:val="19"/>
              </w:rPr>
              <w:t>Mycotoxins</w:t>
            </w:r>
          </w:p>
        </w:tc>
        <w:tc>
          <w:tcPr>
            <w:tcW w:w="7020" w:type="dxa"/>
            <w:tcBorders>
              <w:top w:val="nil"/>
              <w:left w:val="nil"/>
              <w:bottom w:val="nil"/>
              <w:right w:val="nil"/>
            </w:tcBorders>
            <w:tcMar>
              <w:top w:w="55" w:type="dxa"/>
              <w:left w:w="90" w:type="dxa"/>
              <w:bottom w:w="55" w:type="dxa"/>
              <w:right w:w="90" w:type="dxa"/>
            </w:tcMar>
            <w:vAlign w:val="center"/>
          </w:tcPr>
          <w:p w14:paraId="74EE6498">
            <w:pPr>
              <w:spacing w:line="264" w:lineRule="auto"/>
              <w:jc w:val="left"/>
              <w:rPr>
                <w:rFonts w:ascii="Arial" w:hAnsi="Arial" w:cs="Arial"/>
              </w:rPr>
            </w:pPr>
            <w:r>
              <w:rPr>
                <w:rFonts w:ascii="Arial" w:hAnsi="Arial" w:cs="Arial"/>
                <w:sz w:val="19"/>
                <w:szCs w:val="19"/>
              </w:rPr>
              <w:t>Aflatoxin, zearalenone, deoxynivalenol (DON), T</w:t>
            </w:r>
            <w:r>
              <w:rPr>
                <w:rFonts w:ascii="Cambria Math" w:hAnsi="Cambria Math" w:cs="Cambria Math"/>
                <w:sz w:val="19"/>
                <w:szCs w:val="19"/>
              </w:rPr>
              <w:t>‑</w:t>
            </w:r>
            <w:r>
              <w:rPr>
                <w:rFonts w:ascii="Arial" w:hAnsi="Arial" w:cs="Arial"/>
                <w:sz w:val="19"/>
                <w:szCs w:val="19"/>
              </w:rPr>
              <w:t>2 toxin, ochratoxin A – all not detected</w:t>
            </w:r>
          </w:p>
        </w:tc>
      </w:tr>
      <w:tr w14:paraId="54E3734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3025A150">
            <w:pPr>
              <w:spacing w:line="264" w:lineRule="auto"/>
              <w:jc w:val="left"/>
              <w:rPr>
                <w:rFonts w:ascii="Arial" w:hAnsi="Arial" w:cs="Arial"/>
              </w:rPr>
            </w:pPr>
            <w:r>
              <w:rPr>
                <w:rFonts w:ascii="Arial" w:hAnsi="Arial" w:cs="Arial"/>
                <w:b/>
                <w:sz w:val="19"/>
                <w:szCs w:val="19"/>
              </w:rPr>
              <w:t>Heavy metals</w:t>
            </w:r>
          </w:p>
        </w:tc>
        <w:tc>
          <w:tcPr>
            <w:tcW w:w="7020" w:type="dxa"/>
            <w:tcBorders>
              <w:top w:val="nil"/>
              <w:left w:val="nil"/>
              <w:bottom w:val="nil"/>
              <w:right w:val="nil"/>
            </w:tcBorders>
            <w:tcMar>
              <w:top w:w="55" w:type="dxa"/>
              <w:left w:w="90" w:type="dxa"/>
              <w:bottom w:w="55" w:type="dxa"/>
              <w:right w:w="90" w:type="dxa"/>
            </w:tcMar>
            <w:vAlign w:val="center"/>
          </w:tcPr>
          <w:p w14:paraId="2EAA4345">
            <w:pPr>
              <w:spacing w:line="264" w:lineRule="auto"/>
              <w:jc w:val="left"/>
              <w:rPr>
                <w:rFonts w:ascii="Arial" w:hAnsi="Arial" w:cs="Arial"/>
              </w:rPr>
            </w:pPr>
            <w:r>
              <w:rPr>
                <w:rFonts w:ascii="Arial" w:hAnsi="Arial" w:cs="Arial"/>
                <w:sz w:val="19"/>
                <w:szCs w:val="19"/>
              </w:rPr>
              <w:t>Mercury, lead, cadmium, fluorine, tin – not detected</w:t>
            </w:r>
          </w:p>
        </w:tc>
      </w:tr>
      <w:tr w14:paraId="1A09FB6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34CB2485">
            <w:pPr>
              <w:spacing w:line="264" w:lineRule="auto"/>
              <w:jc w:val="left"/>
              <w:rPr>
                <w:rFonts w:ascii="Arial" w:hAnsi="Arial" w:cs="Arial"/>
              </w:rPr>
            </w:pPr>
            <w:r>
              <w:rPr>
                <w:rFonts w:ascii="Arial" w:hAnsi="Arial" w:cs="Arial"/>
                <w:b/>
                <w:sz w:val="19"/>
                <w:szCs w:val="19"/>
              </w:rPr>
              <w:t>Other harmful substances</w:t>
            </w:r>
          </w:p>
        </w:tc>
        <w:tc>
          <w:tcPr>
            <w:tcW w:w="7020" w:type="dxa"/>
            <w:tcBorders>
              <w:top w:val="nil"/>
              <w:left w:val="nil"/>
              <w:bottom w:val="nil"/>
              <w:right w:val="nil"/>
            </w:tcBorders>
            <w:tcMar>
              <w:top w:w="55" w:type="dxa"/>
              <w:left w:w="90" w:type="dxa"/>
              <w:bottom w:w="55" w:type="dxa"/>
              <w:right w:w="90" w:type="dxa"/>
            </w:tcMar>
            <w:vAlign w:val="center"/>
          </w:tcPr>
          <w:p w14:paraId="7044CA18">
            <w:pPr>
              <w:spacing w:line="264" w:lineRule="auto"/>
              <w:jc w:val="left"/>
              <w:rPr>
                <w:rFonts w:ascii="Arial" w:hAnsi="Arial" w:cs="Arial"/>
              </w:rPr>
            </w:pPr>
            <w:r>
              <w:rPr>
                <w:rFonts w:ascii="Arial" w:hAnsi="Arial" w:cs="Arial"/>
                <w:sz w:val="19"/>
                <w:szCs w:val="19"/>
              </w:rPr>
              <w:t>Nitrite, cyanide, free gossypol, PCBs, BHC, DDT, hexachlorobenzene – all not detected</w:t>
            </w:r>
          </w:p>
        </w:tc>
      </w:tr>
      <w:tr w14:paraId="06FBCD5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single" w:color="000000" w:sz="12" w:space="0"/>
              <w:right w:val="nil"/>
            </w:tcBorders>
            <w:tcMar>
              <w:top w:w="55" w:type="dxa"/>
              <w:left w:w="90" w:type="dxa"/>
              <w:bottom w:w="55" w:type="dxa"/>
              <w:right w:w="90" w:type="dxa"/>
            </w:tcMar>
            <w:vAlign w:val="center"/>
          </w:tcPr>
          <w:p w14:paraId="0BFD40B5">
            <w:pPr>
              <w:spacing w:line="264" w:lineRule="auto"/>
              <w:jc w:val="left"/>
              <w:rPr>
                <w:rFonts w:ascii="Arial" w:hAnsi="Arial" w:cs="Arial"/>
              </w:rPr>
            </w:pPr>
            <w:r>
              <w:rPr>
                <w:rFonts w:ascii="Arial" w:hAnsi="Arial" w:cs="Arial"/>
                <w:b/>
                <w:sz w:val="19"/>
                <w:szCs w:val="19"/>
              </w:rPr>
              <w:t>Microbiological</w:t>
            </w:r>
          </w:p>
        </w:tc>
        <w:tc>
          <w:tcPr>
            <w:tcW w:w="7020" w:type="dxa"/>
            <w:tcBorders>
              <w:top w:val="nil"/>
              <w:left w:val="nil"/>
              <w:bottom w:val="single" w:color="000000" w:sz="12" w:space="0"/>
              <w:right w:val="nil"/>
            </w:tcBorders>
            <w:tcMar>
              <w:top w:w="55" w:type="dxa"/>
              <w:left w:w="90" w:type="dxa"/>
              <w:bottom w:w="55" w:type="dxa"/>
              <w:right w:w="90" w:type="dxa"/>
            </w:tcMar>
            <w:vAlign w:val="center"/>
          </w:tcPr>
          <w:p w14:paraId="0DA82764">
            <w:pPr>
              <w:spacing w:line="264" w:lineRule="auto"/>
              <w:jc w:val="left"/>
              <w:rPr>
                <w:rFonts w:ascii="Arial" w:hAnsi="Arial" w:cs="Arial"/>
              </w:rPr>
            </w:pPr>
            <w:r>
              <w:rPr>
                <w:rFonts w:ascii="Arial" w:hAnsi="Arial" w:cs="Arial"/>
                <w:sz w:val="19"/>
                <w:szCs w:val="19"/>
              </w:rPr>
              <w:t>E. coli &lt;3 MPN/g; mold 2.6*10² CFU/g; total bacterial count 6.9*10⁴ CFU/g; salmonella not detected</w:t>
            </w:r>
          </w:p>
        </w:tc>
      </w:tr>
    </w:tbl>
    <w:p w14:paraId="050079CA">
      <w:pPr>
        <w:spacing w:before="320" w:after="150"/>
        <w:outlineLvl w:val="0"/>
        <w:rPr>
          <w:rFonts w:ascii="Arial" w:hAnsi="Arial" w:cs="Arial"/>
        </w:rPr>
      </w:pPr>
      <w:r>
        <w:rPr>
          <w:rFonts w:ascii="Arial" w:hAnsi="Arial" w:eastAsia="黑体" w:cs="Arial"/>
          <w:b/>
          <w:sz w:val="32"/>
          <w:szCs w:val="32"/>
        </w:rPr>
        <w:t>V. Comparison of Key Parameters with Fishmeal</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340"/>
        <w:gridCol w:w="3510"/>
        <w:gridCol w:w="3510"/>
      </w:tblGrid>
      <w:tr w14:paraId="6751C28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7E4CFA4B">
            <w:pPr>
              <w:spacing w:line="264" w:lineRule="auto"/>
              <w:jc w:val="left"/>
              <w:rPr>
                <w:rFonts w:ascii="Arial" w:hAnsi="Arial" w:cs="Arial"/>
              </w:rPr>
            </w:pPr>
            <w:r>
              <w:rPr>
                <w:rFonts w:ascii="Arial" w:hAnsi="Arial" w:cs="Arial"/>
                <w:b/>
                <w:sz w:val="20"/>
                <w:szCs w:val="20"/>
              </w:rPr>
              <w:t>Indicator</w:t>
            </w:r>
          </w:p>
        </w:tc>
        <w:tc>
          <w:tcPr>
            <w:tcW w:w="351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6A2B0D20">
            <w:pPr>
              <w:spacing w:line="264" w:lineRule="auto"/>
              <w:jc w:val="center"/>
              <w:rPr>
                <w:rFonts w:ascii="Arial" w:hAnsi="Arial" w:cs="Arial"/>
              </w:rPr>
            </w:pPr>
            <w:r>
              <w:rPr>
                <w:rFonts w:ascii="Arial" w:hAnsi="Arial" w:cs="Arial"/>
                <w:b/>
                <w:sz w:val="20"/>
                <w:szCs w:val="20"/>
              </w:rPr>
              <w:t>Fish meal</w:t>
            </w:r>
          </w:p>
        </w:tc>
        <w:tc>
          <w:tcPr>
            <w:tcW w:w="351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0A36476">
            <w:pPr>
              <w:spacing w:line="264" w:lineRule="auto"/>
              <w:jc w:val="center"/>
              <w:rPr>
                <w:rFonts w:ascii="Arial" w:hAnsi="Arial" w:cs="Arial"/>
              </w:rPr>
            </w:pPr>
            <w:r>
              <w:rPr>
                <w:rFonts w:ascii="Arial" w:hAnsi="Arial" w:cs="Arial"/>
                <w:b/>
                <w:sz w:val="20"/>
                <w:szCs w:val="20"/>
              </w:rPr>
              <w:t>Sustar PeptiMax</w:t>
            </w:r>
          </w:p>
        </w:tc>
      </w:tr>
      <w:tr w14:paraId="49D0B5B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46A1AA8F">
            <w:pPr>
              <w:spacing w:line="264" w:lineRule="auto"/>
              <w:jc w:val="left"/>
              <w:rPr>
                <w:rFonts w:ascii="Arial" w:hAnsi="Arial" w:cs="Arial"/>
              </w:rPr>
            </w:pPr>
            <w:r>
              <w:rPr>
                <w:rFonts w:ascii="Arial" w:hAnsi="Arial" w:cs="Arial"/>
                <w:sz w:val="19"/>
                <w:szCs w:val="19"/>
              </w:rPr>
              <w:t>Crude protein, %</w:t>
            </w:r>
          </w:p>
        </w:tc>
        <w:tc>
          <w:tcPr>
            <w:tcW w:w="3510" w:type="dxa"/>
            <w:tcBorders>
              <w:top w:val="nil"/>
              <w:left w:val="nil"/>
              <w:bottom w:val="nil"/>
              <w:right w:val="nil"/>
            </w:tcBorders>
            <w:tcMar>
              <w:top w:w="55" w:type="dxa"/>
              <w:left w:w="90" w:type="dxa"/>
              <w:bottom w:w="55" w:type="dxa"/>
              <w:right w:w="90" w:type="dxa"/>
            </w:tcMar>
            <w:vAlign w:val="center"/>
          </w:tcPr>
          <w:p w14:paraId="43191C25">
            <w:pPr>
              <w:spacing w:line="264" w:lineRule="auto"/>
              <w:jc w:val="center"/>
              <w:rPr>
                <w:rFonts w:ascii="Arial" w:hAnsi="Arial" w:cs="Arial"/>
              </w:rPr>
            </w:pPr>
            <w:r>
              <w:rPr>
                <w:rFonts w:ascii="Arial" w:hAnsi="Arial" w:cs="Arial"/>
                <w:sz w:val="19"/>
                <w:szCs w:val="19"/>
              </w:rPr>
              <w:t>65</w:t>
            </w:r>
          </w:p>
        </w:tc>
        <w:tc>
          <w:tcPr>
            <w:tcW w:w="3510" w:type="dxa"/>
            <w:tcBorders>
              <w:top w:val="nil"/>
              <w:left w:val="nil"/>
              <w:bottom w:val="nil"/>
              <w:right w:val="nil"/>
            </w:tcBorders>
            <w:tcMar>
              <w:top w:w="55" w:type="dxa"/>
              <w:left w:w="90" w:type="dxa"/>
              <w:bottom w:w="55" w:type="dxa"/>
              <w:right w:w="90" w:type="dxa"/>
            </w:tcMar>
            <w:vAlign w:val="center"/>
          </w:tcPr>
          <w:p w14:paraId="35599C5F">
            <w:pPr>
              <w:spacing w:line="264" w:lineRule="auto"/>
              <w:jc w:val="center"/>
              <w:rPr>
                <w:rFonts w:ascii="Arial" w:hAnsi="Arial" w:cs="Arial"/>
              </w:rPr>
            </w:pPr>
            <w:r>
              <w:rPr>
                <w:rFonts w:ascii="Arial" w:hAnsi="Arial" w:cs="Arial"/>
                <w:sz w:val="19"/>
                <w:szCs w:val="19"/>
              </w:rPr>
              <w:t>≥55</w:t>
            </w:r>
          </w:p>
        </w:tc>
      </w:tr>
      <w:tr w14:paraId="6A0702D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66D6FE39">
            <w:pPr>
              <w:spacing w:line="264" w:lineRule="auto"/>
              <w:jc w:val="left"/>
              <w:rPr>
                <w:rFonts w:ascii="Arial" w:hAnsi="Arial" w:cs="Arial"/>
              </w:rPr>
            </w:pPr>
            <w:r>
              <w:rPr>
                <w:rFonts w:ascii="Arial" w:hAnsi="Arial" w:cs="Arial"/>
                <w:sz w:val="19"/>
                <w:szCs w:val="19"/>
              </w:rPr>
              <w:t>Non</w:t>
            </w:r>
            <w:r>
              <w:rPr>
                <w:rFonts w:ascii="Cambria Math" w:hAnsi="Cambria Math" w:cs="Cambria Math"/>
                <w:sz w:val="19"/>
                <w:szCs w:val="19"/>
              </w:rPr>
              <w:t>‑</w:t>
            </w:r>
            <w:r>
              <w:rPr>
                <w:rFonts w:ascii="Arial" w:hAnsi="Arial" w:cs="Arial"/>
                <w:sz w:val="19"/>
                <w:szCs w:val="19"/>
              </w:rPr>
              <w:t>protein nitrogen, %</w:t>
            </w:r>
          </w:p>
        </w:tc>
        <w:tc>
          <w:tcPr>
            <w:tcW w:w="3510" w:type="dxa"/>
            <w:tcBorders>
              <w:top w:val="nil"/>
              <w:left w:val="nil"/>
              <w:bottom w:val="nil"/>
              <w:right w:val="nil"/>
            </w:tcBorders>
            <w:tcMar>
              <w:top w:w="55" w:type="dxa"/>
              <w:left w:w="90" w:type="dxa"/>
              <w:bottom w:w="55" w:type="dxa"/>
              <w:right w:w="90" w:type="dxa"/>
            </w:tcMar>
            <w:vAlign w:val="center"/>
          </w:tcPr>
          <w:p w14:paraId="60E3B004">
            <w:pPr>
              <w:spacing w:line="264" w:lineRule="auto"/>
              <w:jc w:val="center"/>
              <w:rPr>
                <w:rFonts w:ascii="Arial" w:hAnsi="Arial" w:cs="Arial"/>
              </w:rPr>
            </w:pPr>
            <w:r>
              <w:rPr>
                <w:rFonts w:ascii="Arial" w:hAnsi="Arial" w:cs="Arial"/>
                <w:sz w:val="19"/>
                <w:szCs w:val="19"/>
              </w:rPr>
              <w:t>15 (biogenic amines, inorganic nitrogen, etc.)</w:t>
            </w:r>
          </w:p>
        </w:tc>
        <w:tc>
          <w:tcPr>
            <w:tcW w:w="3510" w:type="dxa"/>
            <w:tcBorders>
              <w:top w:val="nil"/>
              <w:left w:val="nil"/>
              <w:bottom w:val="nil"/>
              <w:right w:val="nil"/>
            </w:tcBorders>
            <w:tcMar>
              <w:top w:w="55" w:type="dxa"/>
              <w:left w:w="90" w:type="dxa"/>
              <w:bottom w:w="55" w:type="dxa"/>
              <w:right w:w="90" w:type="dxa"/>
            </w:tcMar>
            <w:vAlign w:val="center"/>
          </w:tcPr>
          <w:p w14:paraId="19E46518">
            <w:pPr>
              <w:spacing w:line="264" w:lineRule="auto"/>
              <w:jc w:val="center"/>
              <w:rPr>
                <w:rFonts w:ascii="Arial" w:hAnsi="Arial" w:cs="Arial"/>
              </w:rPr>
            </w:pPr>
            <w:r>
              <w:rPr>
                <w:rFonts w:ascii="Arial" w:hAnsi="Arial" w:cs="Arial"/>
                <w:sz w:val="19"/>
                <w:szCs w:val="19"/>
              </w:rPr>
              <w:t>4 (nucleic acids, fermentation</w:t>
            </w:r>
            <w:r>
              <w:rPr>
                <w:rFonts w:ascii="Cambria Math" w:hAnsi="Cambria Math" w:cs="Cambria Math"/>
                <w:sz w:val="19"/>
                <w:szCs w:val="19"/>
              </w:rPr>
              <w:t>‑</w:t>
            </w:r>
            <w:r>
              <w:rPr>
                <w:rFonts w:ascii="Arial" w:hAnsi="Arial" w:cs="Arial"/>
                <w:sz w:val="19"/>
                <w:szCs w:val="19"/>
              </w:rPr>
              <w:t>derived nitrogenous metabolites)</w:t>
            </w:r>
          </w:p>
        </w:tc>
      </w:tr>
      <w:tr w14:paraId="60473B4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2A03CF23">
            <w:pPr>
              <w:spacing w:line="264" w:lineRule="auto"/>
              <w:jc w:val="left"/>
              <w:rPr>
                <w:rFonts w:ascii="Arial" w:hAnsi="Arial" w:cs="Arial"/>
              </w:rPr>
            </w:pPr>
            <w:r>
              <w:rPr>
                <w:rFonts w:ascii="Arial" w:hAnsi="Arial" w:cs="Arial"/>
                <w:sz w:val="19"/>
                <w:szCs w:val="19"/>
              </w:rPr>
              <w:t>Protein digestibility, %</w:t>
            </w:r>
          </w:p>
        </w:tc>
        <w:tc>
          <w:tcPr>
            <w:tcW w:w="3510" w:type="dxa"/>
            <w:tcBorders>
              <w:top w:val="nil"/>
              <w:left w:val="nil"/>
              <w:bottom w:val="nil"/>
              <w:right w:val="nil"/>
            </w:tcBorders>
            <w:tcMar>
              <w:top w:w="55" w:type="dxa"/>
              <w:left w:w="90" w:type="dxa"/>
              <w:bottom w:w="55" w:type="dxa"/>
              <w:right w:w="90" w:type="dxa"/>
            </w:tcMar>
            <w:vAlign w:val="center"/>
          </w:tcPr>
          <w:p w14:paraId="6F2E48EE">
            <w:pPr>
              <w:spacing w:line="264" w:lineRule="auto"/>
              <w:jc w:val="center"/>
              <w:rPr>
                <w:rFonts w:ascii="Arial" w:hAnsi="Arial" w:cs="Arial"/>
              </w:rPr>
            </w:pPr>
            <w:r>
              <w:rPr>
                <w:rFonts w:ascii="Arial" w:hAnsi="Arial" w:cs="Arial"/>
                <w:sz w:val="19"/>
                <w:szCs w:val="19"/>
              </w:rPr>
              <w:t>90</w:t>
            </w:r>
          </w:p>
        </w:tc>
        <w:tc>
          <w:tcPr>
            <w:tcW w:w="3510" w:type="dxa"/>
            <w:tcBorders>
              <w:top w:val="nil"/>
              <w:left w:val="nil"/>
              <w:bottom w:val="nil"/>
              <w:right w:val="nil"/>
            </w:tcBorders>
            <w:tcMar>
              <w:top w:w="55" w:type="dxa"/>
              <w:left w:w="90" w:type="dxa"/>
              <w:bottom w:w="55" w:type="dxa"/>
              <w:right w:w="90" w:type="dxa"/>
            </w:tcMar>
            <w:vAlign w:val="center"/>
          </w:tcPr>
          <w:p w14:paraId="5DB0BCC8">
            <w:pPr>
              <w:spacing w:line="264" w:lineRule="auto"/>
              <w:jc w:val="center"/>
              <w:rPr>
                <w:rFonts w:ascii="Arial" w:hAnsi="Arial" w:cs="Arial"/>
              </w:rPr>
            </w:pPr>
            <w:r>
              <w:rPr>
                <w:rFonts w:ascii="Arial" w:hAnsi="Arial" w:cs="Arial"/>
                <w:sz w:val="19"/>
                <w:szCs w:val="19"/>
              </w:rPr>
              <w:t>≥95</w:t>
            </w:r>
          </w:p>
        </w:tc>
      </w:tr>
      <w:tr w14:paraId="603241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27B98E26">
            <w:pPr>
              <w:spacing w:line="264" w:lineRule="auto"/>
              <w:jc w:val="left"/>
              <w:rPr>
                <w:rFonts w:ascii="Arial" w:hAnsi="Arial" w:cs="Arial"/>
              </w:rPr>
            </w:pPr>
            <w:r>
              <w:rPr>
                <w:rFonts w:ascii="Arial" w:hAnsi="Arial" w:cs="Arial"/>
                <w:sz w:val="19"/>
                <w:szCs w:val="19"/>
              </w:rPr>
              <w:t>Anti</w:t>
            </w:r>
            <w:r>
              <w:rPr>
                <w:rFonts w:ascii="Cambria Math" w:hAnsi="Cambria Math" w:cs="Cambria Math"/>
                <w:sz w:val="19"/>
                <w:szCs w:val="19"/>
              </w:rPr>
              <w:t>‑</w:t>
            </w:r>
            <w:r>
              <w:rPr>
                <w:rFonts w:ascii="Arial" w:hAnsi="Arial" w:cs="Arial"/>
                <w:sz w:val="19"/>
                <w:szCs w:val="19"/>
              </w:rPr>
              <w:t>Nutritional Factor</w:t>
            </w:r>
          </w:p>
        </w:tc>
        <w:tc>
          <w:tcPr>
            <w:tcW w:w="3510" w:type="dxa"/>
            <w:tcBorders>
              <w:top w:val="nil"/>
              <w:left w:val="nil"/>
              <w:bottom w:val="nil"/>
              <w:right w:val="nil"/>
            </w:tcBorders>
            <w:tcMar>
              <w:top w:w="55" w:type="dxa"/>
              <w:left w:w="90" w:type="dxa"/>
              <w:bottom w:w="55" w:type="dxa"/>
              <w:right w:w="90" w:type="dxa"/>
            </w:tcMar>
            <w:vAlign w:val="center"/>
          </w:tcPr>
          <w:p w14:paraId="148F179B">
            <w:pPr>
              <w:spacing w:line="264" w:lineRule="auto"/>
              <w:jc w:val="center"/>
              <w:rPr>
                <w:rFonts w:ascii="Arial" w:hAnsi="Arial" w:cs="Arial"/>
              </w:rPr>
            </w:pPr>
            <w:r>
              <w:rPr>
                <w:rFonts w:ascii="Arial" w:hAnsi="Arial" w:cs="Arial"/>
                <w:sz w:val="19"/>
                <w:szCs w:val="19"/>
              </w:rPr>
              <w:t xml:space="preserve">Histamine, putrescine, cadaverine, </w:t>
            </w:r>
          </w:p>
          <w:p w14:paraId="508959F1">
            <w:pPr>
              <w:spacing w:line="264" w:lineRule="auto"/>
              <w:jc w:val="center"/>
              <w:rPr>
                <w:rFonts w:ascii="Arial" w:hAnsi="Arial" w:cs="Arial"/>
              </w:rPr>
            </w:pPr>
            <w:r>
              <w:rPr>
                <w:rFonts w:ascii="Arial" w:hAnsi="Arial" w:cs="Arial"/>
                <w:sz w:val="19"/>
                <w:szCs w:val="19"/>
              </w:rPr>
              <w:t>gizzerosine, botulinum toxin, etc.</w:t>
            </w:r>
          </w:p>
        </w:tc>
        <w:tc>
          <w:tcPr>
            <w:tcW w:w="3510" w:type="dxa"/>
            <w:tcBorders>
              <w:top w:val="nil"/>
              <w:left w:val="nil"/>
              <w:bottom w:val="nil"/>
              <w:right w:val="nil"/>
            </w:tcBorders>
            <w:tcMar>
              <w:top w:w="55" w:type="dxa"/>
              <w:left w:w="90" w:type="dxa"/>
              <w:bottom w:w="55" w:type="dxa"/>
              <w:right w:w="90" w:type="dxa"/>
            </w:tcMar>
            <w:vAlign w:val="center"/>
          </w:tcPr>
          <w:p w14:paraId="404C5B13">
            <w:pPr>
              <w:spacing w:line="264" w:lineRule="auto"/>
              <w:jc w:val="center"/>
              <w:rPr>
                <w:rFonts w:ascii="Arial" w:hAnsi="Arial" w:cs="Arial"/>
              </w:rPr>
            </w:pPr>
            <w:r>
              <w:rPr>
                <w:rFonts w:ascii="Arial" w:hAnsi="Arial" w:cs="Arial"/>
                <w:sz w:val="19"/>
                <w:szCs w:val="19"/>
              </w:rPr>
              <w:t>Trypsin inhibitor – not detected</w:t>
            </w:r>
          </w:p>
          <w:p w14:paraId="4C4ED0A7">
            <w:pPr>
              <w:spacing w:line="264" w:lineRule="auto"/>
              <w:jc w:val="center"/>
              <w:rPr>
                <w:rFonts w:ascii="Arial" w:hAnsi="Arial" w:cs="Arial"/>
              </w:rPr>
            </w:pPr>
            <w:r>
              <w:rPr>
                <w:rFonts w:ascii="Arial" w:hAnsi="Arial" w:cs="Arial"/>
                <w:sz w:val="19"/>
                <w:szCs w:val="19"/>
              </w:rPr>
              <w:t xml:space="preserve"> Lectin – not detected</w:t>
            </w:r>
          </w:p>
          <w:p w14:paraId="06A76DF7">
            <w:pPr>
              <w:spacing w:line="264" w:lineRule="auto"/>
              <w:jc w:val="center"/>
              <w:rPr>
                <w:rFonts w:ascii="Arial" w:hAnsi="Arial" w:cs="Arial"/>
              </w:rPr>
            </w:pPr>
            <w:r>
              <w:rPr>
                <w:rFonts w:ascii="Arial" w:hAnsi="Arial" w:cs="Arial"/>
                <w:sz w:val="19"/>
                <w:szCs w:val="19"/>
              </w:rPr>
              <w:t>Oligosaccharides &lt; 0.50%</w:t>
            </w:r>
          </w:p>
        </w:tc>
      </w:tr>
      <w:tr w14:paraId="13D197F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single" w:color="000000" w:sz="12" w:space="0"/>
              <w:right w:val="nil"/>
            </w:tcBorders>
            <w:tcMar>
              <w:top w:w="55" w:type="dxa"/>
              <w:left w:w="90" w:type="dxa"/>
              <w:bottom w:w="55" w:type="dxa"/>
              <w:right w:w="90" w:type="dxa"/>
            </w:tcMar>
            <w:vAlign w:val="center"/>
          </w:tcPr>
          <w:p w14:paraId="02FFCCAA">
            <w:pPr>
              <w:spacing w:line="264" w:lineRule="auto"/>
              <w:jc w:val="left"/>
              <w:rPr>
                <w:rFonts w:ascii="Arial" w:hAnsi="Arial" w:cs="Arial"/>
              </w:rPr>
            </w:pPr>
            <w:r>
              <w:rPr>
                <w:rFonts w:ascii="Arial" w:hAnsi="Arial" w:cs="Arial"/>
                <w:sz w:val="19"/>
                <w:szCs w:val="19"/>
              </w:rPr>
              <w:t>Harmful microorganisms</w:t>
            </w:r>
          </w:p>
        </w:tc>
        <w:tc>
          <w:tcPr>
            <w:tcW w:w="3510" w:type="dxa"/>
            <w:tcBorders>
              <w:top w:val="nil"/>
              <w:left w:val="nil"/>
              <w:bottom w:val="single" w:color="000000" w:sz="12" w:space="0"/>
              <w:right w:val="nil"/>
            </w:tcBorders>
            <w:tcMar>
              <w:top w:w="55" w:type="dxa"/>
              <w:left w:w="90" w:type="dxa"/>
              <w:bottom w:w="55" w:type="dxa"/>
              <w:right w:w="90" w:type="dxa"/>
            </w:tcMar>
            <w:vAlign w:val="center"/>
          </w:tcPr>
          <w:p w14:paraId="2A5B573F">
            <w:pPr>
              <w:spacing w:line="264" w:lineRule="auto"/>
              <w:jc w:val="center"/>
              <w:rPr>
                <w:rFonts w:ascii="Arial" w:hAnsi="Arial" w:cs="Arial"/>
                <w:lang w:val="fr-FR"/>
              </w:rPr>
            </w:pPr>
            <w:r>
              <w:rPr>
                <w:rFonts w:ascii="Arial" w:hAnsi="Arial" w:cs="Arial"/>
                <w:sz w:val="19"/>
                <w:szCs w:val="19"/>
                <w:lang w:val="fr-FR"/>
              </w:rPr>
              <w:t xml:space="preserve">Salmonella, shigella, </w:t>
            </w:r>
          </w:p>
          <w:p w14:paraId="0D2EDC4A">
            <w:pPr>
              <w:spacing w:line="264" w:lineRule="auto"/>
              <w:jc w:val="center"/>
              <w:rPr>
                <w:rFonts w:ascii="Arial" w:hAnsi="Arial" w:cs="Arial"/>
                <w:lang w:val="fr-FR"/>
              </w:rPr>
            </w:pPr>
            <w:r>
              <w:rPr>
                <w:rFonts w:ascii="Arial" w:hAnsi="Arial" w:cs="Arial"/>
                <w:sz w:val="19"/>
                <w:szCs w:val="19"/>
                <w:lang w:val="fr-FR"/>
              </w:rPr>
              <w:t>klebsiella pneumoniae, enterobacter cloacae, etc.</w:t>
            </w:r>
          </w:p>
        </w:tc>
        <w:tc>
          <w:tcPr>
            <w:tcW w:w="3510" w:type="dxa"/>
            <w:tcBorders>
              <w:top w:val="nil"/>
              <w:left w:val="nil"/>
              <w:bottom w:val="single" w:color="000000" w:sz="12" w:space="0"/>
              <w:right w:val="nil"/>
            </w:tcBorders>
            <w:tcMar>
              <w:top w:w="55" w:type="dxa"/>
              <w:left w:w="90" w:type="dxa"/>
              <w:bottom w:w="55" w:type="dxa"/>
              <w:right w:w="90" w:type="dxa"/>
            </w:tcMar>
            <w:vAlign w:val="center"/>
          </w:tcPr>
          <w:p w14:paraId="59C5C98A">
            <w:pPr>
              <w:spacing w:line="264" w:lineRule="auto"/>
              <w:jc w:val="center"/>
              <w:rPr>
                <w:rFonts w:ascii="Arial" w:hAnsi="Arial" w:cs="Arial"/>
              </w:rPr>
            </w:pPr>
            <w:r>
              <w:rPr>
                <w:rFonts w:ascii="Arial" w:hAnsi="Arial" w:cs="Arial"/>
                <w:sz w:val="19"/>
                <w:szCs w:val="19"/>
              </w:rPr>
              <w:t>Salmonella – not detected</w:t>
            </w:r>
          </w:p>
        </w:tc>
      </w:tr>
    </w:tbl>
    <w:p w14:paraId="6AC08B1E">
      <w:pPr>
        <w:spacing w:after="100" w:line="300" w:lineRule="auto"/>
        <w:rPr>
          <w:rFonts w:ascii="Arial" w:hAnsi="Arial" w:cs="Arial"/>
        </w:rPr>
      </w:pPr>
      <w:r>
        <w:rPr>
          <w:rFonts w:ascii="Arial" w:hAnsi="Arial" w:cs="Arial"/>
        </w:rPr>
        <w:t>With higher digestibility and lower non</w:t>
      </w:r>
      <w:r>
        <w:rPr>
          <w:rFonts w:ascii="Cambria Math" w:hAnsi="Cambria Math" w:cs="Cambria Math"/>
        </w:rPr>
        <w:t>‑</w:t>
      </w:r>
      <w:r>
        <w:rPr>
          <w:rFonts w:ascii="Arial" w:hAnsi="Arial" w:cs="Arial"/>
        </w:rPr>
        <w:t>protein nitrogen, this product can partially replace fishmeal while avoiding the risks associated with biogenic amines and pathogenic microorganisms.</w:t>
      </w:r>
    </w:p>
    <w:p w14:paraId="77A5DF4D">
      <w:pPr>
        <w:spacing w:before="320" w:after="150"/>
        <w:outlineLvl w:val="0"/>
        <w:rPr>
          <w:rFonts w:ascii="Arial" w:hAnsi="Arial" w:cs="Arial"/>
        </w:rPr>
      </w:pPr>
      <w:r>
        <w:rPr>
          <w:rFonts w:ascii="Arial" w:hAnsi="Arial" w:eastAsia="黑体" w:cs="Arial"/>
          <w:b/>
          <w:sz w:val="32"/>
          <w:szCs w:val="32"/>
        </w:rPr>
        <w:t>VI. Functional Bioactive Substances</w:t>
      </w:r>
    </w:p>
    <w:p w14:paraId="31749245">
      <w:pPr>
        <w:spacing w:after="100" w:line="300" w:lineRule="auto"/>
        <w:rPr>
          <w:rFonts w:ascii="Arial" w:hAnsi="Arial" w:cs="Arial"/>
        </w:rPr>
      </w:pPr>
      <w:r>
        <w:rPr>
          <w:rFonts w:ascii="Arial" w:hAnsi="Arial" w:cs="Arial"/>
        </w:rPr>
        <w:t>Through thorough aerobic fermentation, this product not only provides high</w:t>
      </w:r>
      <w:r>
        <w:rPr>
          <w:rFonts w:ascii="Cambria Math" w:hAnsi="Cambria Math" w:cs="Cambria Math"/>
        </w:rPr>
        <w:t>‑</w:t>
      </w:r>
      <w:r>
        <w:rPr>
          <w:rFonts w:ascii="Arial" w:hAnsi="Arial" w:cs="Arial"/>
        </w:rPr>
        <w:t>digestibility plant protein but is also enriched with active yeast cells, β</w:t>
      </w:r>
      <w:r>
        <w:rPr>
          <w:rFonts w:ascii="Cambria Math" w:hAnsi="Cambria Math" w:cs="Cambria Math"/>
        </w:rPr>
        <w:t>‑</w:t>
      </w:r>
      <w:r>
        <w:rPr>
          <w:rFonts w:ascii="Arial" w:hAnsi="Arial" w:cs="Arial"/>
        </w:rPr>
        <w:t>glucan, mannanoligosaccharides (MOS), yeast metabolites, and small peptides, delivering the dual value of “plant protein + functional yeast culture.”</w:t>
      </w:r>
    </w:p>
    <w:p w14:paraId="601C404C">
      <w:pPr>
        <w:rPr>
          <w:rFonts w:ascii="Arial" w:hAnsi="Arial" w:cs="Arial"/>
          <w:b/>
        </w:rPr>
      </w:pPr>
      <w:r>
        <w:rPr>
          <w:rFonts w:ascii="Arial" w:hAnsi="Arial" w:cs="Arial"/>
          <w:b/>
        </w:rPr>
        <w:t>Each kilogram of the product contains 15 billion yeast cells and their concentrated metabolites + 2.3% nucleotides + 0.8% short</w:t>
      </w:r>
      <w:r>
        <w:rPr>
          <w:rFonts w:ascii="Cambria Math" w:hAnsi="Cambria Math" w:cs="Cambria Math"/>
          <w:b/>
        </w:rPr>
        <w:t>‑</w:t>
      </w:r>
      <w:r>
        <w:rPr>
          <w:rFonts w:ascii="Arial" w:hAnsi="Arial" w:cs="Arial"/>
          <w:b/>
        </w:rPr>
        <w:t>chain fatty acids + 0.</w:t>
      </w:r>
      <w:r>
        <w:rPr>
          <w:rFonts w:hint="eastAsia" w:ascii="Arial" w:hAnsi="Arial" w:cs="Arial"/>
          <w:b/>
          <w:lang w:val="en-US" w:eastAsia="zh-CN"/>
        </w:rPr>
        <w:t>2</w:t>
      </w:r>
      <w:r>
        <w:rPr>
          <w:rFonts w:ascii="Arial" w:hAnsi="Arial" w:cs="Arial"/>
          <w:b/>
        </w:rPr>
        <w:t>% mannan (with over 200 types of metabolites)</w:t>
      </w:r>
    </w:p>
    <w:p w14:paraId="363A3CD7">
      <w:pPr>
        <w:pStyle w:val="12"/>
        <w:widowControl/>
        <w:spacing w:beforeAutospacing="1" w:afterAutospacing="1"/>
        <w:rPr>
          <w:rFonts w:ascii="Arial" w:hAnsi="Arial" w:cs="Arial"/>
        </w:rPr>
      </w:pPr>
      <w:r>
        <w:rPr>
          <w:rFonts w:ascii="Arial" w:hAnsi="Arial" w:eastAsia="黑体" w:cs="Arial"/>
          <w:b/>
          <w:szCs w:val="24"/>
        </w:rPr>
        <w:t xml:space="preserve">6.1 Feed Intake </w:t>
      </w:r>
    </w:p>
    <w:p w14:paraId="36DB9EA4">
      <w:pPr>
        <w:pStyle w:val="12"/>
        <w:widowControl/>
        <w:spacing w:beforeAutospacing="1" w:afterAutospacing="1"/>
        <w:rPr>
          <w:rFonts w:ascii="Arial" w:hAnsi="Arial" w:cs="Arial"/>
        </w:rPr>
      </w:pPr>
      <w:r>
        <w:rPr>
          <w:rFonts w:ascii="Arial" w:hAnsi="Arial" w:cs="Arial"/>
        </w:rPr>
        <w:t>Flavor</w:t>
      </w:r>
      <w:r>
        <w:rPr>
          <w:rFonts w:ascii="Cambria Math" w:hAnsi="Cambria Math" w:cs="Cambria Math"/>
        </w:rPr>
        <w:t>‑</w:t>
      </w:r>
      <w:r>
        <w:rPr>
          <w:rFonts w:ascii="Arial" w:hAnsi="Arial" w:cs="Arial"/>
        </w:rPr>
        <w:t>enhancing nucleotides, umami amino acids, as well as fatty acids, esters, and aromatic compounds generated during fermentation, impart excellent palatability and feed attractability to the diet. In addition, the high digestibility accelerates the passage of digesta through the digestive tract, enhancing hunger sensation and thereby promoting feed intake in animals.</w:t>
      </w:r>
    </w:p>
    <w:p w14:paraId="0BF67673">
      <w:pPr>
        <w:pStyle w:val="12"/>
        <w:widowControl/>
        <w:spacing w:beforeAutospacing="1" w:afterAutospacing="1"/>
        <w:rPr>
          <w:rFonts w:ascii="Arial" w:hAnsi="Arial" w:cs="Arial"/>
        </w:rPr>
      </w:pPr>
      <w:r>
        <w:rPr>
          <w:rFonts w:ascii="Arial" w:hAnsi="Arial" w:cs="Arial"/>
          <w:b/>
        </w:rPr>
        <w:t>6.2 Digestibility</w:t>
      </w:r>
    </w:p>
    <w:p w14:paraId="2261DD29">
      <w:pPr>
        <w:pStyle w:val="12"/>
        <w:widowControl/>
        <w:spacing w:beforeAutospacing="1" w:afterAutospacing="1"/>
        <w:rPr>
          <w:rFonts w:ascii="Arial" w:hAnsi="Arial" w:cs="Arial"/>
        </w:rPr>
      </w:pPr>
      <w:r>
        <w:rPr>
          <w:rFonts w:ascii="Arial" w:hAnsi="Arial" w:cs="Arial"/>
        </w:rPr>
        <w:t xml:space="preserve"> Enzymes and microorganisms synergistically break down macromolecular proteins and carbohydrates. The combined fermentation and extrusion treatment loosens the protein structure, exposing more digestive enzyme binding sites, thus improving digestion and utilization efficiency.</w:t>
      </w:r>
    </w:p>
    <w:p w14:paraId="2DAE4F6C">
      <w:pPr>
        <w:pStyle w:val="12"/>
        <w:widowControl/>
        <w:spacing w:beforeAutospacing="1" w:afterAutospacing="1"/>
        <w:rPr>
          <w:rFonts w:ascii="Arial" w:hAnsi="Arial" w:cs="Arial"/>
        </w:rPr>
      </w:pPr>
      <w:r>
        <w:rPr>
          <w:rFonts w:ascii="Arial" w:hAnsi="Arial" w:eastAsia="黑体" w:cs="Arial"/>
          <w:b/>
          <w:szCs w:val="24"/>
        </w:rPr>
        <w:t xml:space="preserve">6.3 Gut Health </w:t>
      </w:r>
    </w:p>
    <w:p w14:paraId="1F6E30BC">
      <w:pPr>
        <w:pStyle w:val="12"/>
        <w:widowControl/>
        <w:spacing w:beforeAutospacing="1" w:afterAutospacing="1"/>
        <w:rPr>
          <w:rFonts w:ascii="Arial" w:hAnsi="Arial" w:cs="Arial"/>
        </w:rPr>
      </w:pPr>
      <w:r>
        <w:rPr>
          <w:rFonts w:ascii="Arial" w:hAnsi="Arial" w:cs="Arial"/>
        </w:rPr>
        <w:t>It improves intestinal villus development, promotes the proliferation of beneficial bacteria, reduces intestinal inflammation, and maintains the integrity of the intestinal mucosa, thereby enhancing the absorption efficiency of nutrients.</w:t>
      </w:r>
    </w:p>
    <w:p w14:paraId="1C365AC9">
      <w:pPr>
        <w:pStyle w:val="12"/>
        <w:widowControl/>
        <w:spacing w:beforeAutospacing="1" w:afterAutospacing="1"/>
        <w:rPr>
          <w:rFonts w:ascii="Arial" w:hAnsi="Arial" w:cs="Arial"/>
        </w:rPr>
      </w:pPr>
      <w:r>
        <w:rPr>
          <w:rFonts w:ascii="Arial" w:hAnsi="Arial" w:eastAsia="黑体" w:cs="Arial"/>
          <w:b/>
          <w:szCs w:val="24"/>
        </w:rPr>
        <w:t xml:space="preserve">6.4 Immune Function </w:t>
      </w:r>
    </w:p>
    <w:p w14:paraId="615050AC">
      <w:pPr>
        <w:pStyle w:val="12"/>
        <w:widowControl/>
        <w:spacing w:beforeAutospacing="1" w:afterAutospacing="1"/>
        <w:rPr>
          <w:rFonts w:ascii="Arial" w:hAnsi="Arial" w:cs="Arial"/>
        </w:rPr>
      </w:pPr>
      <w:r>
        <w:rPr>
          <w:rFonts w:ascii="Arial" w:hAnsi="Arial" w:cs="Arial"/>
        </w:rPr>
        <w:t>Its components such as β</w:t>
      </w:r>
      <w:r>
        <w:rPr>
          <w:rFonts w:ascii="Cambria Math" w:hAnsi="Cambria Math" w:cs="Cambria Math"/>
        </w:rPr>
        <w:t>‑</w:t>
      </w:r>
      <w:r>
        <w:rPr>
          <w:rFonts w:ascii="Arial" w:hAnsi="Arial" w:cs="Arial"/>
        </w:rPr>
        <w:t>glucan, mannanoligosaccharides, and nucleotides activate innate immunity, enhance phagocytic cell activity, strengthen disease resistance, and alleviate stress responses, ultimately contributing to improved survival rates.</w:t>
      </w:r>
    </w:p>
    <w:p w14:paraId="6133AF0C">
      <w:pPr>
        <w:spacing w:before="320" w:after="150"/>
        <w:outlineLvl w:val="0"/>
        <w:rPr>
          <w:rFonts w:ascii="Arial" w:hAnsi="Arial" w:cs="Arial"/>
        </w:rPr>
      </w:pPr>
      <w:r>
        <w:rPr>
          <w:rFonts w:ascii="Arial" w:hAnsi="Arial" w:eastAsia="黑体" w:cs="Arial"/>
          <w:b/>
          <w:sz w:val="32"/>
          <w:szCs w:val="32"/>
        </w:rPr>
        <w:t xml:space="preserve">VII. Comparison with </w:t>
      </w:r>
      <w:r>
        <w:rPr>
          <w:rFonts w:hint="eastAsia" w:ascii="Arial" w:hAnsi="Arial" w:eastAsia="黑体" w:cs="Arial"/>
          <w:b/>
          <w:sz w:val="32"/>
          <w:szCs w:val="32"/>
          <w:lang w:val="en-US" w:eastAsia="zh-CN"/>
        </w:rPr>
        <w:t>P</w:t>
      </w:r>
      <w:r>
        <w:rPr>
          <w:rFonts w:hint="eastAsia" w:ascii="Arial" w:hAnsi="Arial" w:eastAsia="黑体" w:cs="Arial"/>
          <w:b/>
          <w:sz w:val="32"/>
          <w:szCs w:val="32"/>
          <w:lang w:eastAsia="zh-CN"/>
        </w:rPr>
        <w:t>remium</w:t>
      </w:r>
      <w:r>
        <w:rPr>
          <w:rFonts w:ascii="Arial" w:hAnsi="Arial" w:eastAsia="黑体" w:cs="Arial"/>
          <w:b/>
          <w:sz w:val="32"/>
          <w:szCs w:val="32"/>
        </w:rPr>
        <w:t xml:space="preserve"> Fermented Plant Proteins</w:t>
      </w:r>
    </w:p>
    <w:p w14:paraId="16CF5407">
      <w:pPr>
        <w:spacing w:after="100" w:line="300" w:lineRule="auto"/>
        <w:rPr>
          <w:rFonts w:ascii="Arial" w:hAnsi="Arial" w:cs="Arial"/>
        </w:rPr>
      </w:pPr>
      <w:r>
        <w:rPr>
          <w:rFonts w:ascii="Arial" w:hAnsi="Arial" w:cs="Arial"/>
        </w:rPr>
        <w:t xml:space="preserve">Sustar PeptiMax can serve as an alternative to </w:t>
      </w:r>
      <w:r>
        <w:rPr>
          <w:rFonts w:hint="eastAsia" w:ascii="Arial" w:hAnsi="Arial" w:cs="Arial"/>
          <w:lang w:eastAsia="zh-CN"/>
        </w:rPr>
        <w:t>premium</w:t>
      </w:r>
      <w:r>
        <w:rPr>
          <w:rFonts w:ascii="Arial" w:hAnsi="Arial" w:cs="Arial"/>
        </w:rPr>
        <w:t xml:space="preserve"> fermented plant protein products. The following comparison is based on the compositional data of </w:t>
      </w:r>
      <w:r>
        <w:rPr>
          <w:rFonts w:hint="eastAsia" w:ascii="Arial" w:hAnsi="Arial" w:cs="Arial"/>
          <w:lang w:val="en-US" w:eastAsia="zh-CN"/>
        </w:rPr>
        <w:t>premium</w:t>
      </w:r>
      <w:r>
        <w:rPr>
          <w:rFonts w:ascii="Arial" w:hAnsi="Arial" w:eastAsia="宋体" w:cs="Arial"/>
          <w:color w:val="000000"/>
          <w:sz w:val="21"/>
          <w:szCs w:val="21"/>
          <w:lang w:val="en" w:eastAsia="zh-CN" w:bidi="ar-SA"/>
        </w:rPr>
        <w:t xml:space="preserve"> </w:t>
      </w:r>
      <w:r>
        <w:rPr>
          <w:rFonts w:hint="eastAsia" w:ascii="Arial" w:hAnsi="Arial" w:cs="Arial"/>
          <w:color w:val="000000"/>
          <w:sz w:val="21"/>
          <w:szCs w:val="21"/>
          <w:lang w:val="en-US" w:eastAsia="zh-CN" w:bidi="ar-SA"/>
        </w:rPr>
        <w:t>f</w:t>
      </w:r>
      <w:r>
        <w:rPr>
          <w:rFonts w:ascii="Arial" w:hAnsi="Arial" w:eastAsia="宋体" w:cs="Arial"/>
          <w:color w:val="000000"/>
          <w:sz w:val="21"/>
          <w:szCs w:val="21"/>
          <w:lang w:val="en" w:eastAsia="zh-CN" w:bidi="ar-SA"/>
        </w:rPr>
        <w:t xml:space="preserve">ermented </w:t>
      </w:r>
      <w:r>
        <w:rPr>
          <w:rFonts w:hint="eastAsia" w:ascii="Arial" w:hAnsi="Arial" w:cs="Arial"/>
          <w:color w:val="000000"/>
          <w:sz w:val="21"/>
          <w:szCs w:val="21"/>
          <w:lang w:val="en-US" w:eastAsia="zh-CN" w:bidi="ar-SA"/>
        </w:rPr>
        <w:t>p</w:t>
      </w:r>
      <w:r>
        <w:rPr>
          <w:rFonts w:ascii="Arial" w:hAnsi="Arial" w:eastAsia="宋体" w:cs="Arial"/>
          <w:color w:val="000000"/>
          <w:sz w:val="21"/>
          <w:szCs w:val="21"/>
          <w:lang w:val="en" w:eastAsia="zh-CN" w:bidi="ar-SA"/>
        </w:rPr>
        <w:t xml:space="preserve">lant </w:t>
      </w:r>
      <w:r>
        <w:rPr>
          <w:rFonts w:hint="eastAsia" w:ascii="Arial" w:hAnsi="Arial" w:cs="Arial"/>
          <w:color w:val="000000"/>
          <w:sz w:val="21"/>
          <w:szCs w:val="21"/>
          <w:lang w:val="en-US" w:eastAsia="zh-CN" w:bidi="ar-SA"/>
        </w:rPr>
        <w:t>p</w:t>
      </w:r>
      <w:r>
        <w:rPr>
          <w:rFonts w:ascii="Arial" w:hAnsi="Arial" w:eastAsia="宋体" w:cs="Arial"/>
          <w:color w:val="000000"/>
          <w:sz w:val="21"/>
          <w:szCs w:val="21"/>
          <w:lang w:val="en" w:eastAsia="zh-CN" w:bidi="ar-SA"/>
        </w:rPr>
        <w:t>rotein</w:t>
      </w:r>
      <w:r>
        <w:rPr>
          <w:rFonts w:ascii="Arial" w:hAnsi="Arial" w:cs="Arial"/>
        </w:rPr>
        <w:t xml:space="preserve"> reported in public literature, and used for formulators’ reference.</w:t>
      </w:r>
    </w:p>
    <w:p w14:paraId="2AD73CE7">
      <w:pPr>
        <w:spacing w:before="190" w:after="80"/>
        <w:outlineLvl w:val="1"/>
        <w:rPr>
          <w:rFonts w:ascii="Arial" w:hAnsi="Arial" w:cs="Arial"/>
        </w:rPr>
      </w:pPr>
      <w:r>
        <w:rPr>
          <w:rFonts w:ascii="Arial" w:hAnsi="Arial" w:eastAsia="黑体" w:cs="Arial"/>
          <w:b/>
          <w:sz w:val="24"/>
          <w:szCs w:val="24"/>
        </w:rPr>
        <w:t xml:space="preserve">7.1 Comparison of Key Components </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600"/>
        <w:gridCol w:w="3380"/>
        <w:gridCol w:w="3380"/>
      </w:tblGrid>
      <w:tr w14:paraId="3BE0EDB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6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E4831C7">
            <w:pPr>
              <w:spacing w:line="264" w:lineRule="auto"/>
              <w:jc w:val="left"/>
              <w:rPr>
                <w:rFonts w:ascii="Arial" w:hAnsi="Arial" w:cs="Arial"/>
              </w:rPr>
            </w:pPr>
            <w:r>
              <w:rPr>
                <w:rFonts w:ascii="Arial" w:hAnsi="Arial" w:cs="Arial"/>
                <w:b/>
                <w:sz w:val="20"/>
                <w:szCs w:val="20"/>
              </w:rPr>
              <w:t>Item</w:t>
            </w:r>
          </w:p>
        </w:tc>
        <w:tc>
          <w:tcPr>
            <w:tcW w:w="338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52AA5A30">
            <w:pPr>
              <w:spacing w:line="264" w:lineRule="auto"/>
              <w:jc w:val="center"/>
              <w:rPr>
                <w:rFonts w:ascii="Arial" w:hAnsi="Arial" w:cs="Arial"/>
              </w:rPr>
            </w:pPr>
            <w:r>
              <w:rPr>
                <w:rFonts w:hint="eastAsia" w:ascii="Arial" w:hAnsi="Arial" w:cs="Arial"/>
                <w:b/>
                <w:sz w:val="20"/>
                <w:szCs w:val="20"/>
                <w:lang w:val="en-US" w:eastAsia="zh-CN"/>
              </w:rPr>
              <w:t>P</w:t>
            </w:r>
            <w:r>
              <w:rPr>
                <w:rFonts w:hint="eastAsia" w:ascii="Arial" w:hAnsi="Arial" w:cs="Arial"/>
                <w:b/>
                <w:sz w:val="20"/>
                <w:szCs w:val="20"/>
                <w:lang w:eastAsia="zh-CN"/>
              </w:rPr>
              <w:t>remium</w:t>
            </w:r>
            <w:r>
              <w:rPr>
                <w:rFonts w:ascii="Arial" w:hAnsi="Arial" w:cs="Arial"/>
                <w:b/>
                <w:sz w:val="20"/>
                <w:szCs w:val="20"/>
              </w:rPr>
              <w:t xml:space="preserve"> Fermented Plant Protein</w:t>
            </w:r>
          </w:p>
        </w:tc>
        <w:tc>
          <w:tcPr>
            <w:tcW w:w="338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6C52B46F">
            <w:pPr>
              <w:spacing w:line="264" w:lineRule="auto"/>
              <w:jc w:val="center"/>
              <w:rPr>
                <w:rFonts w:ascii="Arial" w:hAnsi="Arial" w:cs="Arial"/>
              </w:rPr>
            </w:pPr>
            <w:r>
              <w:rPr>
                <w:rFonts w:ascii="Arial" w:hAnsi="Arial" w:cs="Arial"/>
                <w:b/>
                <w:sz w:val="20"/>
                <w:szCs w:val="20"/>
              </w:rPr>
              <w:t>Sustar PeptiMax</w:t>
            </w:r>
          </w:p>
        </w:tc>
      </w:tr>
      <w:tr w14:paraId="37147CC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3F0CC586">
            <w:pPr>
              <w:spacing w:line="264" w:lineRule="auto"/>
              <w:jc w:val="left"/>
              <w:rPr>
                <w:rFonts w:ascii="Arial" w:hAnsi="Arial" w:cs="Arial"/>
              </w:rPr>
            </w:pPr>
            <w:r>
              <w:rPr>
                <w:rFonts w:ascii="Arial" w:hAnsi="Arial" w:cs="Arial"/>
                <w:sz w:val="19"/>
                <w:szCs w:val="19"/>
              </w:rPr>
              <w:t>Crude protein, %</w:t>
            </w:r>
          </w:p>
        </w:tc>
        <w:tc>
          <w:tcPr>
            <w:tcW w:w="3380" w:type="dxa"/>
            <w:tcBorders>
              <w:top w:val="nil"/>
              <w:left w:val="nil"/>
              <w:bottom w:val="nil"/>
              <w:right w:val="nil"/>
            </w:tcBorders>
            <w:tcMar>
              <w:top w:w="55" w:type="dxa"/>
              <w:left w:w="90" w:type="dxa"/>
              <w:bottom w:w="55" w:type="dxa"/>
              <w:right w:w="90" w:type="dxa"/>
            </w:tcMar>
            <w:vAlign w:val="center"/>
          </w:tcPr>
          <w:p w14:paraId="68026E0F">
            <w:pPr>
              <w:spacing w:line="264" w:lineRule="auto"/>
              <w:jc w:val="center"/>
              <w:rPr>
                <w:rFonts w:ascii="Arial" w:hAnsi="Arial" w:cs="Arial"/>
              </w:rPr>
            </w:pPr>
            <w:r>
              <w:rPr>
                <w:rFonts w:ascii="Arial" w:hAnsi="Arial" w:cs="Arial"/>
                <w:sz w:val="19"/>
                <w:szCs w:val="19"/>
              </w:rPr>
              <w:t>55.00</w:t>
            </w:r>
          </w:p>
        </w:tc>
        <w:tc>
          <w:tcPr>
            <w:tcW w:w="3380" w:type="dxa"/>
            <w:tcBorders>
              <w:top w:val="nil"/>
              <w:left w:val="nil"/>
              <w:bottom w:val="nil"/>
              <w:right w:val="nil"/>
            </w:tcBorders>
            <w:tcMar>
              <w:top w:w="55" w:type="dxa"/>
              <w:left w:w="90" w:type="dxa"/>
              <w:bottom w:w="55" w:type="dxa"/>
              <w:right w:w="90" w:type="dxa"/>
            </w:tcMar>
            <w:vAlign w:val="center"/>
          </w:tcPr>
          <w:p w14:paraId="4045211F">
            <w:pPr>
              <w:spacing w:line="264" w:lineRule="auto"/>
              <w:jc w:val="center"/>
              <w:rPr>
                <w:rFonts w:ascii="Arial" w:hAnsi="Arial" w:cs="Arial"/>
              </w:rPr>
            </w:pPr>
            <w:r>
              <w:rPr>
                <w:rFonts w:ascii="Arial" w:hAnsi="Arial" w:cs="Arial"/>
                <w:sz w:val="19"/>
                <w:szCs w:val="19"/>
              </w:rPr>
              <w:t>≥55.00</w:t>
            </w:r>
          </w:p>
        </w:tc>
      </w:tr>
      <w:tr w14:paraId="11E3A8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2803A1F4">
            <w:pPr>
              <w:spacing w:line="264" w:lineRule="auto"/>
              <w:jc w:val="left"/>
              <w:rPr>
                <w:rFonts w:ascii="Arial" w:hAnsi="Arial" w:cs="Arial"/>
              </w:rPr>
            </w:pPr>
            <w:r>
              <w:rPr>
                <w:rFonts w:ascii="Arial" w:hAnsi="Arial" w:cs="Arial"/>
                <w:sz w:val="19"/>
                <w:szCs w:val="19"/>
              </w:rPr>
              <w:t>Crude fat, %</w:t>
            </w:r>
          </w:p>
        </w:tc>
        <w:tc>
          <w:tcPr>
            <w:tcW w:w="3380" w:type="dxa"/>
            <w:tcBorders>
              <w:top w:val="nil"/>
              <w:left w:val="nil"/>
              <w:bottom w:val="nil"/>
              <w:right w:val="nil"/>
            </w:tcBorders>
            <w:tcMar>
              <w:top w:w="55" w:type="dxa"/>
              <w:left w:w="90" w:type="dxa"/>
              <w:bottom w:w="55" w:type="dxa"/>
              <w:right w:w="90" w:type="dxa"/>
            </w:tcMar>
            <w:vAlign w:val="center"/>
          </w:tcPr>
          <w:p w14:paraId="2E68E84E">
            <w:pPr>
              <w:spacing w:line="264" w:lineRule="auto"/>
              <w:jc w:val="center"/>
              <w:rPr>
                <w:rFonts w:ascii="Arial" w:hAnsi="Arial" w:cs="Arial"/>
              </w:rPr>
            </w:pPr>
            <w:r>
              <w:rPr>
                <w:rFonts w:ascii="Arial" w:hAnsi="Arial" w:cs="Arial"/>
                <w:sz w:val="19"/>
                <w:szCs w:val="19"/>
              </w:rPr>
              <w:t>2.50</w:t>
            </w:r>
          </w:p>
        </w:tc>
        <w:tc>
          <w:tcPr>
            <w:tcW w:w="3380" w:type="dxa"/>
            <w:tcBorders>
              <w:top w:val="nil"/>
              <w:left w:val="nil"/>
              <w:bottom w:val="nil"/>
              <w:right w:val="nil"/>
            </w:tcBorders>
            <w:tcMar>
              <w:top w:w="55" w:type="dxa"/>
              <w:left w:w="90" w:type="dxa"/>
              <w:bottom w:w="55" w:type="dxa"/>
              <w:right w:w="90" w:type="dxa"/>
            </w:tcMar>
            <w:vAlign w:val="center"/>
          </w:tcPr>
          <w:p w14:paraId="09A4C9F0">
            <w:pPr>
              <w:spacing w:line="264" w:lineRule="auto"/>
              <w:jc w:val="center"/>
              <w:rPr>
                <w:rFonts w:ascii="Arial" w:hAnsi="Arial" w:cs="Arial"/>
              </w:rPr>
            </w:pPr>
            <w:r>
              <w:rPr>
                <w:rFonts w:ascii="Arial" w:hAnsi="Arial" w:cs="Arial"/>
                <w:sz w:val="19"/>
                <w:szCs w:val="19"/>
              </w:rPr>
              <w:t>≤1.50</w:t>
            </w:r>
          </w:p>
        </w:tc>
      </w:tr>
      <w:tr w14:paraId="00F0D4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65BA4B3B">
            <w:pPr>
              <w:spacing w:line="264" w:lineRule="auto"/>
              <w:jc w:val="left"/>
              <w:rPr>
                <w:rFonts w:ascii="Arial" w:hAnsi="Arial" w:cs="Arial"/>
              </w:rPr>
            </w:pPr>
            <w:r>
              <w:rPr>
                <w:rFonts w:ascii="Arial" w:hAnsi="Arial" w:cs="Arial"/>
                <w:sz w:val="19"/>
                <w:szCs w:val="19"/>
              </w:rPr>
              <w:t>Trypsin inhibitor</w:t>
            </w:r>
          </w:p>
        </w:tc>
        <w:tc>
          <w:tcPr>
            <w:tcW w:w="3380" w:type="dxa"/>
            <w:tcBorders>
              <w:top w:val="nil"/>
              <w:left w:val="nil"/>
              <w:bottom w:val="nil"/>
              <w:right w:val="nil"/>
            </w:tcBorders>
            <w:tcMar>
              <w:top w:w="55" w:type="dxa"/>
              <w:left w:w="90" w:type="dxa"/>
              <w:bottom w:w="55" w:type="dxa"/>
              <w:right w:w="90" w:type="dxa"/>
            </w:tcMar>
            <w:vAlign w:val="center"/>
          </w:tcPr>
          <w:p w14:paraId="36E5082D">
            <w:pPr>
              <w:spacing w:line="264" w:lineRule="auto"/>
              <w:jc w:val="center"/>
              <w:rPr>
                <w:rFonts w:ascii="Arial" w:hAnsi="Arial" w:cs="Arial"/>
              </w:rPr>
            </w:pPr>
            <w:r>
              <w:rPr>
                <w:rFonts w:ascii="Arial" w:hAnsi="Arial" w:cs="Arial"/>
                <w:sz w:val="19"/>
                <w:szCs w:val="19"/>
              </w:rPr>
              <w:t>1 mg/g</w:t>
            </w:r>
          </w:p>
        </w:tc>
        <w:tc>
          <w:tcPr>
            <w:tcW w:w="3380" w:type="dxa"/>
            <w:tcBorders>
              <w:top w:val="nil"/>
              <w:left w:val="nil"/>
              <w:bottom w:val="nil"/>
              <w:right w:val="nil"/>
            </w:tcBorders>
            <w:tcMar>
              <w:top w:w="55" w:type="dxa"/>
              <w:left w:w="90" w:type="dxa"/>
              <w:bottom w:w="55" w:type="dxa"/>
              <w:right w:w="90" w:type="dxa"/>
            </w:tcMar>
            <w:vAlign w:val="center"/>
          </w:tcPr>
          <w:p w14:paraId="0B7775DA">
            <w:pPr>
              <w:spacing w:line="264" w:lineRule="auto"/>
              <w:jc w:val="center"/>
              <w:rPr>
                <w:rFonts w:ascii="Arial" w:hAnsi="Arial" w:cs="Arial"/>
              </w:rPr>
            </w:pPr>
            <w:r>
              <w:rPr>
                <w:rFonts w:ascii="Arial" w:hAnsi="Arial" w:cs="Arial"/>
                <w:sz w:val="19"/>
                <w:szCs w:val="19"/>
              </w:rPr>
              <w:t>Not detected</w:t>
            </w:r>
          </w:p>
        </w:tc>
      </w:tr>
      <w:tr w14:paraId="085A0C8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32268DA7">
            <w:pPr>
              <w:spacing w:line="264" w:lineRule="auto"/>
              <w:jc w:val="left"/>
              <w:rPr>
                <w:rFonts w:ascii="Arial" w:hAnsi="Arial" w:cs="Arial"/>
              </w:rPr>
            </w:pPr>
            <w:r>
              <w:rPr>
                <w:rFonts w:ascii="Arial" w:hAnsi="Arial" w:cs="Arial"/>
                <w:sz w:val="19"/>
                <w:szCs w:val="19"/>
              </w:rPr>
              <w:t>Lectin</w:t>
            </w:r>
          </w:p>
        </w:tc>
        <w:tc>
          <w:tcPr>
            <w:tcW w:w="3380" w:type="dxa"/>
            <w:tcBorders>
              <w:top w:val="nil"/>
              <w:left w:val="nil"/>
              <w:bottom w:val="nil"/>
              <w:right w:val="nil"/>
            </w:tcBorders>
            <w:tcMar>
              <w:top w:w="55" w:type="dxa"/>
              <w:left w:w="90" w:type="dxa"/>
              <w:bottom w:w="55" w:type="dxa"/>
              <w:right w:w="90" w:type="dxa"/>
            </w:tcMar>
            <w:vAlign w:val="center"/>
          </w:tcPr>
          <w:p w14:paraId="0C15008F">
            <w:pPr>
              <w:spacing w:line="264" w:lineRule="auto"/>
              <w:jc w:val="center"/>
              <w:rPr>
                <w:rFonts w:ascii="Arial" w:hAnsi="Arial" w:cs="Arial"/>
              </w:rPr>
            </w:pPr>
            <w:r>
              <w:rPr>
                <w:rFonts w:ascii="Arial" w:hAnsi="Arial" w:cs="Arial"/>
                <w:sz w:val="19"/>
                <w:szCs w:val="19"/>
              </w:rPr>
              <w:t>&lt; 1 ppm</w:t>
            </w:r>
          </w:p>
        </w:tc>
        <w:tc>
          <w:tcPr>
            <w:tcW w:w="3380" w:type="dxa"/>
            <w:tcBorders>
              <w:top w:val="nil"/>
              <w:left w:val="nil"/>
              <w:bottom w:val="nil"/>
              <w:right w:val="nil"/>
            </w:tcBorders>
            <w:tcMar>
              <w:top w:w="55" w:type="dxa"/>
              <w:left w:w="90" w:type="dxa"/>
              <w:bottom w:w="55" w:type="dxa"/>
              <w:right w:w="90" w:type="dxa"/>
            </w:tcMar>
            <w:vAlign w:val="center"/>
          </w:tcPr>
          <w:p w14:paraId="1CC33878">
            <w:pPr>
              <w:spacing w:line="264" w:lineRule="auto"/>
              <w:jc w:val="center"/>
              <w:rPr>
                <w:rFonts w:ascii="Arial" w:hAnsi="Arial" w:cs="Arial"/>
              </w:rPr>
            </w:pPr>
            <w:r>
              <w:rPr>
                <w:rFonts w:ascii="Arial" w:hAnsi="Arial" w:cs="Arial"/>
                <w:sz w:val="19"/>
                <w:szCs w:val="19"/>
              </w:rPr>
              <w:t>Not detected</w:t>
            </w:r>
          </w:p>
        </w:tc>
      </w:tr>
      <w:tr w14:paraId="26795C2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019E75D7">
            <w:pPr>
              <w:spacing w:line="264" w:lineRule="auto"/>
              <w:jc w:val="left"/>
              <w:rPr>
                <w:rFonts w:ascii="Arial" w:hAnsi="Arial" w:cs="Arial"/>
              </w:rPr>
            </w:pPr>
            <w:r>
              <w:rPr>
                <w:rFonts w:ascii="Arial" w:hAnsi="Arial" w:cs="Arial"/>
                <w:sz w:val="19"/>
                <w:szCs w:val="19"/>
              </w:rPr>
              <w:t>Oligosaccharides, %</w:t>
            </w:r>
          </w:p>
        </w:tc>
        <w:tc>
          <w:tcPr>
            <w:tcW w:w="3380" w:type="dxa"/>
            <w:tcBorders>
              <w:top w:val="nil"/>
              <w:left w:val="nil"/>
              <w:bottom w:val="nil"/>
              <w:right w:val="nil"/>
            </w:tcBorders>
            <w:tcMar>
              <w:top w:w="55" w:type="dxa"/>
              <w:left w:w="90" w:type="dxa"/>
              <w:bottom w:w="55" w:type="dxa"/>
              <w:right w:w="90" w:type="dxa"/>
            </w:tcMar>
            <w:vAlign w:val="center"/>
          </w:tcPr>
          <w:p w14:paraId="371B6115">
            <w:pPr>
              <w:spacing w:line="264" w:lineRule="auto"/>
              <w:jc w:val="center"/>
              <w:rPr>
                <w:rFonts w:ascii="Arial" w:hAnsi="Arial" w:cs="Arial"/>
              </w:rPr>
            </w:pPr>
            <w:r>
              <w:rPr>
                <w:rFonts w:ascii="Arial" w:hAnsi="Arial" w:cs="Arial"/>
                <w:sz w:val="19"/>
                <w:szCs w:val="19"/>
              </w:rPr>
              <w:t>1.0</w:t>
            </w:r>
          </w:p>
        </w:tc>
        <w:tc>
          <w:tcPr>
            <w:tcW w:w="3380" w:type="dxa"/>
            <w:tcBorders>
              <w:top w:val="nil"/>
              <w:left w:val="nil"/>
              <w:bottom w:val="nil"/>
              <w:right w:val="nil"/>
            </w:tcBorders>
            <w:tcMar>
              <w:top w:w="55" w:type="dxa"/>
              <w:left w:w="90" w:type="dxa"/>
              <w:bottom w:w="55" w:type="dxa"/>
              <w:right w:w="90" w:type="dxa"/>
            </w:tcMar>
            <w:vAlign w:val="center"/>
          </w:tcPr>
          <w:p w14:paraId="306825A8">
            <w:pPr>
              <w:spacing w:line="264" w:lineRule="auto"/>
              <w:jc w:val="center"/>
              <w:rPr>
                <w:rFonts w:ascii="Arial" w:hAnsi="Arial" w:cs="Arial"/>
              </w:rPr>
            </w:pPr>
            <w:r>
              <w:rPr>
                <w:rFonts w:ascii="Arial" w:hAnsi="Arial" w:cs="Arial"/>
                <w:sz w:val="19"/>
                <w:szCs w:val="19"/>
              </w:rPr>
              <w:t>&lt; 0.50 (stachyose + raffinose + sucrose)</w:t>
            </w:r>
          </w:p>
        </w:tc>
      </w:tr>
      <w:tr w14:paraId="249CFF2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single" w:color="000000" w:sz="12" w:space="0"/>
              <w:right w:val="nil"/>
            </w:tcBorders>
            <w:tcMar>
              <w:top w:w="55" w:type="dxa"/>
              <w:left w:w="90" w:type="dxa"/>
              <w:bottom w:w="55" w:type="dxa"/>
              <w:right w:w="90" w:type="dxa"/>
            </w:tcMar>
            <w:vAlign w:val="center"/>
          </w:tcPr>
          <w:p w14:paraId="18D0E789">
            <w:pPr>
              <w:spacing w:line="264" w:lineRule="auto"/>
              <w:jc w:val="left"/>
              <w:rPr>
                <w:rFonts w:ascii="Arial" w:hAnsi="Arial" w:cs="Arial"/>
              </w:rPr>
            </w:pPr>
            <w:r>
              <w:rPr>
                <w:rFonts w:ascii="Arial" w:hAnsi="Arial" w:cs="Arial"/>
                <w:sz w:val="19"/>
                <w:szCs w:val="19"/>
              </w:rPr>
              <w:t>Functional yeast components</w:t>
            </w:r>
          </w:p>
        </w:tc>
        <w:tc>
          <w:tcPr>
            <w:tcW w:w="3380" w:type="dxa"/>
            <w:tcBorders>
              <w:top w:val="nil"/>
              <w:left w:val="nil"/>
              <w:bottom w:val="single" w:color="000000" w:sz="12" w:space="0"/>
              <w:right w:val="nil"/>
            </w:tcBorders>
            <w:tcMar>
              <w:top w:w="55" w:type="dxa"/>
              <w:left w:w="90" w:type="dxa"/>
              <w:bottom w:w="55" w:type="dxa"/>
              <w:right w:w="90" w:type="dxa"/>
            </w:tcMar>
            <w:vAlign w:val="center"/>
          </w:tcPr>
          <w:p w14:paraId="214F426C">
            <w:pPr>
              <w:spacing w:line="264" w:lineRule="auto"/>
              <w:jc w:val="center"/>
              <w:rPr>
                <w:rFonts w:ascii="Arial" w:hAnsi="Arial" w:cs="Arial"/>
              </w:rPr>
            </w:pPr>
            <w:r>
              <w:rPr>
                <w:rFonts w:ascii="Arial" w:hAnsi="Arial" w:cs="Arial"/>
                <w:sz w:val="19"/>
                <w:szCs w:val="19"/>
              </w:rPr>
              <w:t>—</w:t>
            </w:r>
          </w:p>
        </w:tc>
        <w:tc>
          <w:tcPr>
            <w:tcW w:w="3380" w:type="dxa"/>
            <w:tcBorders>
              <w:top w:val="nil"/>
              <w:left w:val="nil"/>
              <w:bottom w:val="single" w:color="000000" w:sz="12" w:space="0"/>
              <w:right w:val="nil"/>
            </w:tcBorders>
            <w:tcMar>
              <w:top w:w="55" w:type="dxa"/>
              <w:left w:w="90" w:type="dxa"/>
              <w:bottom w:w="55" w:type="dxa"/>
              <w:right w:w="90" w:type="dxa"/>
            </w:tcMar>
            <w:vAlign w:val="center"/>
          </w:tcPr>
          <w:p w14:paraId="78B3DFEE">
            <w:pPr>
              <w:spacing w:line="264" w:lineRule="auto"/>
              <w:jc w:val="center"/>
              <w:rPr>
                <w:rFonts w:ascii="Arial" w:hAnsi="Arial" w:cs="Arial"/>
              </w:rPr>
            </w:pPr>
            <w:r>
              <w:rPr>
                <w:rFonts w:ascii="Arial" w:hAnsi="Arial" w:cs="Arial"/>
                <w:sz w:val="19"/>
                <w:szCs w:val="19"/>
              </w:rPr>
              <w:t>Active yeast cells, β</w:t>
            </w:r>
            <w:r>
              <w:rPr>
                <w:rFonts w:ascii="Cambria Math" w:hAnsi="Cambria Math" w:cs="Cambria Math"/>
                <w:sz w:val="19"/>
                <w:szCs w:val="19"/>
              </w:rPr>
              <w:t>‑</w:t>
            </w:r>
            <w:r>
              <w:rPr>
                <w:rFonts w:ascii="Arial" w:hAnsi="Arial" w:cs="Arial"/>
                <w:sz w:val="19"/>
                <w:szCs w:val="19"/>
              </w:rPr>
              <w:t xml:space="preserve">glucan, </w:t>
            </w:r>
          </w:p>
          <w:p w14:paraId="27A29E3B">
            <w:pPr>
              <w:spacing w:line="264" w:lineRule="auto"/>
              <w:jc w:val="center"/>
              <w:rPr>
                <w:rFonts w:ascii="Arial" w:hAnsi="Arial" w:cs="Arial"/>
              </w:rPr>
            </w:pPr>
            <w:r>
              <w:rPr>
                <w:rFonts w:ascii="Arial" w:hAnsi="Arial" w:cs="Arial"/>
                <w:sz w:val="19"/>
                <w:szCs w:val="19"/>
              </w:rPr>
              <w:t>mannanoligosaccharides (MOS), yeast metabolites</w:t>
            </w:r>
          </w:p>
        </w:tc>
      </w:tr>
    </w:tbl>
    <w:p w14:paraId="35F513BF">
      <w:pPr>
        <w:spacing w:before="190" w:after="80"/>
        <w:outlineLvl w:val="1"/>
        <w:rPr>
          <w:rFonts w:ascii="Arial" w:hAnsi="Arial" w:cs="Arial"/>
        </w:rPr>
      </w:pPr>
      <w:r>
        <w:rPr>
          <w:rFonts w:ascii="Arial" w:hAnsi="Arial" w:eastAsia="黑体" w:cs="Arial"/>
          <w:b/>
          <w:sz w:val="24"/>
          <w:szCs w:val="24"/>
        </w:rPr>
        <w:t>7.2 Comparison of Amino Acid Compositions (per 100 g protein)</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3120"/>
        <w:gridCol w:w="3120"/>
        <w:gridCol w:w="3120"/>
      </w:tblGrid>
      <w:tr w14:paraId="26D5C0F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312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603500B">
            <w:pPr>
              <w:spacing w:line="264" w:lineRule="auto"/>
              <w:jc w:val="center"/>
              <w:rPr>
                <w:rFonts w:ascii="Arial" w:hAnsi="Arial" w:cs="Arial"/>
              </w:rPr>
            </w:pPr>
            <w:r>
              <w:rPr>
                <w:rFonts w:ascii="Arial" w:hAnsi="Arial" w:cs="Arial"/>
                <w:b/>
                <w:sz w:val="20"/>
                <w:szCs w:val="20"/>
              </w:rPr>
              <w:t>Amino Acid</w:t>
            </w:r>
          </w:p>
        </w:tc>
        <w:tc>
          <w:tcPr>
            <w:tcW w:w="312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18227EAE">
            <w:pPr>
              <w:spacing w:line="264" w:lineRule="auto"/>
              <w:jc w:val="center"/>
              <w:rPr>
                <w:rFonts w:ascii="Arial" w:hAnsi="Arial" w:cs="Arial"/>
              </w:rPr>
            </w:pPr>
            <w:r>
              <w:rPr>
                <w:rFonts w:hint="eastAsia" w:ascii="Arial" w:hAnsi="Arial" w:cs="Arial"/>
                <w:b/>
                <w:sz w:val="20"/>
                <w:szCs w:val="20"/>
                <w:lang w:val="en-US" w:eastAsia="zh-CN"/>
              </w:rPr>
              <w:t>P</w:t>
            </w:r>
            <w:r>
              <w:rPr>
                <w:rFonts w:hint="eastAsia" w:ascii="Arial" w:hAnsi="Arial" w:cs="Arial"/>
                <w:b/>
                <w:sz w:val="20"/>
                <w:szCs w:val="20"/>
                <w:lang w:eastAsia="zh-CN"/>
              </w:rPr>
              <w:t>remium</w:t>
            </w:r>
            <w:r>
              <w:rPr>
                <w:rFonts w:ascii="Arial" w:hAnsi="Arial" w:cs="Arial"/>
                <w:b/>
                <w:sz w:val="20"/>
                <w:szCs w:val="20"/>
              </w:rPr>
              <w:t xml:space="preserve"> Fermented Plant Protein</w:t>
            </w:r>
          </w:p>
        </w:tc>
        <w:tc>
          <w:tcPr>
            <w:tcW w:w="312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7E629407">
            <w:pPr>
              <w:spacing w:line="264" w:lineRule="auto"/>
              <w:jc w:val="center"/>
              <w:rPr>
                <w:rFonts w:ascii="Arial" w:hAnsi="Arial" w:cs="Arial"/>
              </w:rPr>
            </w:pPr>
            <w:r>
              <w:rPr>
                <w:rFonts w:ascii="Arial" w:hAnsi="Arial" w:cs="Arial"/>
                <w:b/>
                <w:sz w:val="20"/>
                <w:szCs w:val="20"/>
              </w:rPr>
              <w:t>Sustar PeptiMax</w:t>
            </w:r>
          </w:p>
        </w:tc>
      </w:tr>
      <w:tr w14:paraId="44B4D08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71577C58">
            <w:pPr>
              <w:spacing w:line="264" w:lineRule="auto"/>
              <w:jc w:val="center"/>
              <w:rPr>
                <w:rFonts w:ascii="Arial" w:hAnsi="Arial" w:cs="Arial"/>
              </w:rPr>
            </w:pPr>
            <w:r>
              <w:rPr>
                <w:rFonts w:ascii="Arial" w:hAnsi="Arial" w:cs="Arial"/>
                <w:sz w:val="19"/>
                <w:szCs w:val="19"/>
              </w:rPr>
              <w:t>Lysine</w:t>
            </w:r>
          </w:p>
        </w:tc>
        <w:tc>
          <w:tcPr>
            <w:tcW w:w="3120" w:type="dxa"/>
            <w:tcBorders>
              <w:top w:val="nil"/>
              <w:left w:val="nil"/>
              <w:bottom w:val="nil"/>
              <w:right w:val="nil"/>
            </w:tcBorders>
            <w:tcMar>
              <w:top w:w="55" w:type="dxa"/>
              <w:left w:w="90" w:type="dxa"/>
              <w:bottom w:w="55" w:type="dxa"/>
              <w:right w:w="90" w:type="dxa"/>
            </w:tcMar>
            <w:vAlign w:val="center"/>
          </w:tcPr>
          <w:p w14:paraId="444A2EE9">
            <w:pPr>
              <w:spacing w:line="264" w:lineRule="auto"/>
              <w:jc w:val="center"/>
              <w:rPr>
                <w:rFonts w:ascii="Arial" w:hAnsi="Arial" w:cs="Arial"/>
              </w:rPr>
            </w:pPr>
            <w:r>
              <w:rPr>
                <w:rFonts w:ascii="Arial" w:hAnsi="Arial" w:cs="Arial"/>
                <w:sz w:val="19"/>
                <w:szCs w:val="19"/>
              </w:rPr>
              <w:t>6.2</w:t>
            </w:r>
          </w:p>
        </w:tc>
        <w:tc>
          <w:tcPr>
            <w:tcW w:w="3120" w:type="dxa"/>
            <w:tcBorders>
              <w:top w:val="nil"/>
              <w:left w:val="nil"/>
              <w:bottom w:val="nil"/>
              <w:right w:val="nil"/>
            </w:tcBorders>
            <w:tcMar>
              <w:top w:w="55" w:type="dxa"/>
              <w:left w:w="90" w:type="dxa"/>
              <w:bottom w:w="55" w:type="dxa"/>
              <w:right w:w="90" w:type="dxa"/>
            </w:tcMar>
            <w:vAlign w:val="center"/>
          </w:tcPr>
          <w:p w14:paraId="6CF66CB2">
            <w:pPr>
              <w:spacing w:line="264" w:lineRule="auto"/>
              <w:jc w:val="center"/>
              <w:rPr>
                <w:rFonts w:ascii="Arial" w:hAnsi="Arial" w:cs="Arial"/>
              </w:rPr>
            </w:pPr>
            <w:r>
              <w:rPr>
                <w:rFonts w:ascii="Arial" w:hAnsi="Arial" w:cs="Arial"/>
                <w:sz w:val="19"/>
                <w:szCs w:val="19"/>
              </w:rPr>
              <w:t>6.44</w:t>
            </w:r>
          </w:p>
        </w:tc>
      </w:tr>
      <w:tr w14:paraId="78DEF37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67B02880">
            <w:pPr>
              <w:spacing w:line="264" w:lineRule="auto"/>
              <w:jc w:val="center"/>
              <w:rPr>
                <w:rFonts w:ascii="Arial" w:hAnsi="Arial" w:cs="Arial"/>
              </w:rPr>
            </w:pPr>
            <w:r>
              <w:rPr>
                <w:rFonts w:ascii="Arial" w:hAnsi="Arial" w:cs="Arial"/>
                <w:sz w:val="19"/>
                <w:szCs w:val="19"/>
              </w:rPr>
              <w:t>Leucine</w:t>
            </w:r>
          </w:p>
        </w:tc>
        <w:tc>
          <w:tcPr>
            <w:tcW w:w="3120" w:type="dxa"/>
            <w:tcBorders>
              <w:top w:val="nil"/>
              <w:left w:val="nil"/>
              <w:bottom w:val="nil"/>
              <w:right w:val="nil"/>
            </w:tcBorders>
            <w:tcMar>
              <w:top w:w="55" w:type="dxa"/>
              <w:left w:w="90" w:type="dxa"/>
              <w:bottom w:w="55" w:type="dxa"/>
              <w:right w:w="90" w:type="dxa"/>
            </w:tcMar>
            <w:vAlign w:val="center"/>
          </w:tcPr>
          <w:p w14:paraId="6C0E9A74">
            <w:pPr>
              <w:spacing w:line="264" w:lineRule="auto"/>
              <w:jc w:val="center"/>
              <w:rPr>
                <w:rFonts w:ascii="Arial" w:hAnsi="Arial" w:cs="Arial"/>
              </w:rPr>
            </w:pPr>
            <w:r>
              <w:rPr>
                <w:rFonts w:ascii="Arial" w:hAnsi="Arial" w:cs="Arial"/>
                <w:sz w:val="19"/>
                <w:szCs w:val="19"/>
              </w:rPr>
              <w:t>7.8</w:t>
            </w:r>
          </w:p>
        </w:tc>
        <w:tc>
          <w:tcPr>
            <w:tcW w:w="3120" w:type="dxa"/>
            <w:tcBorders>
              <w:top w:val="nil"/>
              <w:left w:val="nil"/>
              <w:bottom w:val="nil"/>
              <w:right w:val="nil"/>
            </w:tcBorders>
            <w:tcMar>
              <w:top w:w="55" w:type="dxa"/>
              <w:left w:w="90" w:type="dxa"/>
              <w:bottom w:w="55" w:type="dxa"/>
              <w:right w:w="90" w:type="dxa"/>
            </w:tcMar>
            <w:vAlign w:val="center"/>
          </w:tcPr>
          <w:p w14:paraId="074839D2">
            <w:pPr>
              <w:spacing w:line="264" w:lineRule="auto"/>
              <w:jc w:val="center"/>
              <w:rPr>
                <w:rFonts w:ascii="Arial" w:hAnsi="Arial" w:cs="Arial"/>
              </w:rPr>
            </w:pPr>
            <w:r>
              <w:rPr>
                <w:rFonts w:ascii="Arial" w:hAnsi="Arial" w:cs="Arial"/>
                <w:sz w:val="19"/>
                <w:szCs w:val="19"/>
              </w:rPr>
              <w:t>7.96</w:t>
            </w:r>
          </w:p>
        </w:tc>
      </w:tr>
      <w:tr w14:paraId="4E4AFD1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1C30308C">
            <w:pPr>
              <w:spacing w:line="264" w:lineRule="auto"/>
              <w:jc w:val="center"/>
              <w:rPr>
                <w:rFonts w:ascii="Arial" w:hAnsi="Arial" w:cs="Arial"/>
              </w:rPr>
            </w:pPr>
            <w:r>
              <w:rPr>
                <w:rFonts w:ascii="Arial" w:hAnsi="Arial" w:cs="Arial"/>
                <w:sz w:val="19"/>
                <w:szCs w:val="19"/>
              </w:rPr>
              <w:t>Phenylalanine</w:t>
            </w:r>
          </w:p>
        </w:tc>
        <w:tc>
          <w:tcPr>
            <w:tcW w:w="3120" w:type="dxa"/>
            <w:tcBorders>
              <w:top w:val="nil"/>
              <w:left w:val="nil"/>
              <w:bottom w:val="nil"/>
              <w:right w:val="nil"/>
            </w:tcBorders>
            <w:tcMar>
              <w:top w:w="55" w:type="dxa"/>
              <w:left w:w="90" w:type="dxa"/>
              <w:bottom w:w="55" w:type="dxa"/>
              <w:right w:w="90" w:type="dxa"/>
            </w:tcMar>
            <w:vAlign w:val="center"/>
          </w:tcPr>
          <w:p w14:paraId="7FC3236D">
            <w:pPr>
              <w:spacing w:line="264" w:lineRule="auto"/>
              <w:jc w:val="center"/>
              <w:rPr>
                <w:rFonts w:ascii="Arial" w:hAnsi="Arial" w:cs="Arial"/>
              </w:rPr>
            </w:pPr>
            <w:r>
              <w:rPr>
                <w:rFonts w:ascii="Arial" w:hAnsi="Arial" w:cs="Arial"/>
                <w:sz w:val="19"/>
                <w:szCs w:val="19"/>
              </w:rPr>
              <w:t>5.0</w:t>
            </w:r>
          </w:p>
        </w:tc>
        <w:tc>
          <w:tcPr>
            <w:tcW w:w="3120" w:type="dxa"/>
            <w:tcBorders>
              <w:top w:val="nil"/>
              <w:left w:val="nil"/>
              <w:bottom w:val="nil"/>
              <w:right w:val="nil"/>
            </w:tcBorders>
            <w:tcMar>
              <w:top w:w="55" w:type="dxa"/>
              <w:left w:w="90" w:type="dxa"/>
              <w:bottom w:w="55" w:type="dxa"/>
              <w:right w:w="90" w:type="dxa"/>
            </w:tcMar>
            <w:vAlign w:val="center"/>
          </w:tcPr>
          <w:p w14:paraId="7C33121E">
            <w:pPr>
              <w:spacing w:line="264" w:lineRule="auto"/>
              <w:jc w:val="center"/>
              <w:rPr>
                <w:rFonts w:ascii="Arial" w:hAnsi="Arial" w:cs="Arial"/>
              </w:rPr>
            </w:pPr>
            <w:r>
              <w:rPr>
                <w:rFonts w:ascii="Arial" w:hAnsi="Arial" w:cs="Arial"/>
                <w:sz w:val="19"/>
                <w:szCs w:val="19"/>
              </w:rPr>
              <w:t>5.33</w:t>
            </w:r>
          </w:p>
        </w:tc>
      </w:tr>
      <w:tr w14:paraId="3B45E81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2DDD10E3">
            <w:pPr>
              <w:spacing w:line="264" w:lineRule="auto"/>
              <w:jc w:val="center"/>
              <w:rPr>
                <w:rFonts w:ascii="Arial" w:hAnsi="Arial" w:cs="Arial"/>
              </w:rPr>
            </w:pPr>
            <w:r>
              <w:rPr>
                <w:rFonts w:ascii="Arial" w:hAnsi="Arial" w:cs="Arial"/>
                <w:sz w:val="19"/>
                <w:szCs w:val="19"/>
              </w:rPr>
              <w:t>Threonine</w:t>
            </w:r>
          </w:p>
        </w:tc>
        <w:tc>
          <w:tcPr>
            <w:tcW w:w="3120" w:type="dxa"/>
            <w:tcBorders>
              <w:top w:val="nil"/>
              <w:left w:val="nil"/>
              <w:bottom w:val="nil"/>
              <w:right w:val="nil"/>
            </w:tcBorders>
            <w:tcMar>
              <w:top w:w="55" w:type="dxa"/>
              <w:left w:w="90" w:type="dxa"/>
              <w:bottom w:w="55" w:type="dxa"/>
              <w:right w:w="90" w:type="dxa"/>
            </w:tcMar>
            <w:vAlign w:val="center"/>
          </w:tcPr>
          <w:p w14:paraId="14DD95A8">
            <w:pPr>
              <w:spacing w:line="264" w:lineRule="auto"/>
              <w:jc w:val="center"/>
              <w:rPr>
                <w:rFonts w:ascii="Arial" w:hAnsi="Arial" w:cs="Arial"/>
              </w:rPr>
            </w:pPr>
            <w:r>
              <w:rPr>
                <w:rFonts w:ascii="Arial" w:hAnsi="Arial" w:cs="Arial"/>
                <w:sz w:val="19"/>
                <w:szCs w:val="19"/>
              </w:rPr>
              <w:t>4.0</w:t>
            </w:r>
          </w:p>
        </w:tc>
        <w:tc>
          <w:tcPr>
            <w:tcW w:w="3120" w:type="dxa"/>
            <w:tcBorders>
              <w:top w:val="nil"/>
              <w:left w:val="nil"/>
              <w:bottom w:val="nil"/>
              <w:right w:val="nil"/>
            </w:tcBorders>
            <w:tcMar>
              <w:top w:w="55" w:type="dxa"/>
              <w:left w:w="90" w:type="dxa"/>
              <w:bottom w:w="55" w:type="dxa"/>
              <w:right w:w="90" w:type="dxa"/>
            </w:tcMar>
            <w:vAlign w:val="center"/>
          </w:tcPr>
          <w:p w14:paraId="13C3028F">
            <w:pPr>
              <w:spacing w:line="264" w:lineRule="auto"/>
              <w:jc w:val="center"/>
              <w:rPr>
                <w:rFonts w:ascii="Arial" w:hAnsi="Arial" w:cs="Arial"/>
              </w:rPr>
            </w:pPr>
            <w:r>
              <w:rPr>
                <w:rFonts w:ascii="Arial" w:hAnsi="Arial" w:cs="Arial"/>
                <w:sz w:val="19"/>
                <w:szCs w:val="19"/>
              </w:rPr>
              <w:t>3.98</w:t>
            </w:r>
          </w:p>
        </w:tc>
      </w:tr>
      <w:tr w14:paraId="5BF37B0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03E5806B">
            <w:pPr>
              <w:spacing w:line="264" w:lineRule="auto"/>
              <w:jc w:val="center"/>
              <w:rPr>
                <w:rFonts w:ascii="Arial" w:hAnsi="Arial" w:cs="Arial"/>
              </w:rPr>
            </w:pPr>
            <w:r>
              <w:rPr>
                <w:rFonts w:ascii="Arial" w:hAnsi="Arial" w:cs="Arial"/>
                <w:sz w:val="19"/>
                <w:szCs w:val="19"/>
              </w:rPr>
              <w:t>Isoleucine</w:t>
            </w:r>
          </w:p>
        </w:tc>
        <w:tc>
          <w:tcPr>
            <w:tcW w:w="3120" w:type="dxa"/>
            <w:tcBorders>
              <w:top w:val="nil"/>
              <w:left w:val="nil"/>
              <w:bottom w:val="nil"/>
              <w:right w:val="nil"/>
            </w:tcBorders>
            <w:tcMar>
              <w:top w:w="55" w:type="dxa"/>
              <w:left w:w="90" w:type="dxa"/>
              <w:bottom w:w="55" w:type="dxa"/>
              <w:right w:w="90" w:type="dxa"/>
            </w:tcMar>
            <w:vAlign w:val="center"/>
          </w:tcPr>
          <w:p w14:paraId="167C35FB">
            <w:pPr>
              <w:spacing w:line="264" w:lineRule="auto"/>
              <w:jc w:val="center"/>
              <w:rPr>
                <w:rFonts w:ascii="Arial" w:hAnsi="Arial" w:cs="Arial"/>
              </w:rPr>
            </w:pPr>
            <w:r>
              <w:rPr>
                <w:rFonts w:ascii="Arial" w:hAnsi="Arial" w:cs="Arial"/>
                <w:sz w:val="19"/>
                <w:szCs w:val="19"/>
              </w:rPr>
              <w:t>4.8</w:t>
            </w:r>
          </w:p>
        </w:tc>
        <w:tc>
          <w:tcPr>
            <w:tcW w:w="3120" w:type="dxa"/>
            <w:tcBorders>
              <w:top w:val="nil"/>
              <w:left w:val="nil"/>
              <w:bottom w:val="nil"/>
              <w:right w:val="nil"/>
            </w:tcBorders>
            <w:tcMar>
              <w:top w:w="55" w:type="dxa"/>
              <w:left w:w="90" w:type="dxa"/>
              <w:bottom w:w="55" w:type="dxa"/>
              <w:right w:w="90" w:type="dxa"/>
            </w:tcMar>
            <w:vAlign w:val="center"/>
          </w:tcPr>
          <w:p w14:paraId="362F9EFF">
            <w:pPr>
              <w:spacing w:line="264" w:lineRule="auto"/>
              <w:jc w:val="center"/>
              <w:rPr>
                <w:rFonts w:ascii="Arial" w:hAnsi="Arial" w:cs="Arial"/>
              </w:rPr>
            </w:pPr>
            <w:r>
              <w:rPr>
                <w:rFonts w:ascii="Arial" w:hAnsi="Arial" w:cs="Arial"/>
                <w:sz w:val="19"/>
                <w:szCs w:val="19"/>
              </w:rPr>
              <w:t>4.78</w:t>
            </w:r>
          </w:p>
        </w:tc>
      </w:tr>
      <w:tr w14:paraId="37566FC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26C4501B">
            <w:pPr>
              <w:spacing w:line="264" w:lineRule="auto"/>
              <w:jc w:val="center"/>
              <w:rPr>
                <w:rFonts w:ascii="Arial" w:hAnsi="Arial" w:cs="Arial"/>
              </w:rPr>
            </w:pPr>
            <w:r>
              <w:rPr>
                <w:rFonts w:ascii="Arial" w:hAnsi="Arial" w:cs="Arial"/>
                <w:sz w:val="19"/>
                <w:szCs w:val="19"/>
              </w:rPr>
              <w:t>Valine</w:t>
            </w:r>
          </w:p>
        </w:tc>
        <w:tc>
          <w:tcPr>
            <w:tcW w:w="3120" w:type="dxa"/>
            <w:tcBorders>
              <w:top w:val="nil"/>
              <w:left w:val="nil"/>
              <w:bottom w:val="nil"/>
              <w:right w:val="nil"/>
            </w:tcBorders>
            <w:tcMar>
              <w:top w:w="55" w:type="dxa"/>
              <w:left w:w="90" w:type="dxa"/>
              <w:bottom w:w="55" w:type="dxa"/>
              <w:right w:w="90" w:type="dxa"/>
            </w:tcMar>
            <w:vAlign w:val="center"/>
          </w:tcPr>
          <w:p w14:paraId="5441DFFE">
            <w:pPr>
              <w:spacing w:line="264" w:lineRule="auto"/>
              <w:jc w:val="center"/>
              <w:rPr>
                <w:rFonts w:ascii="Arial" w:hAnsi="Arial" w:cs="Arial"/>
              </w:rPr>
            </w:pPr>
            <w:r>
              <w:rPr>
                <w:rFonts w:ascii="Arial" w:hAnsi="Arial" w:cs="Arial"/>
                <w:sz w:val="19"/>
                <w:szCs w:val="19"/>
              </w:rPr>
              <w:t>5.2</w:t>
            </w:r>
          </w:p>
        </w:tc>
        <w:tc>
          <w:tcPr>
            <w:tcW w:w="3120" w:type="dxa"/>
            <w:tcBorders>
              <w:top w:val="nil"/>
              <w:left w:val="nil"/>
              <w:bottom w:val="nil"/>
              <w:right w:val="nil"/>
            </w:tcBorders>
            <w:tcMar>
              <w:top w:w="55" w:type="dxa"/>
              <w:left w:w="90" w:type="dxa"/>
              <w:bottom w:w="55" w:type="dxa"/>
              <w:right w:w="90" w:type="dxa"/>
            </w:tcMar>
            <w:vAlign w:val="center"/>
          </w:tcPr>
          <w:p w14:paraId="7E3AF859">
            <w:pPr>
              <w:spacing w:line="264" w:lineRule="auto"/>
              <w:jc w:val="center"/>
              <w:rPr>
                <w:rFonts w:ascii="Arial" w:hAnsi="Arial" w:cs="Arial"/>
              </w:rPr>
            </w:pPr>
            <w:r>
              <w:rPr>
                <w:rFonts w:ascii="Arial" w:hAnsi="Arial" w:cs="Arial"/>
                <w:sz w:val="19"/>
                <w:szCs w:val="19"/>
              </w:rPr>
              <w:t>4.89</w:t>
            </w:r>
          </w:p>
        </w:tc>
      </w:tr>
      <w:tr w14:paraId="72ABF8D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0A0C2D3F">
            <w:pPr>
              <w:spacing w:line="264" w:lineRule="auto"/>
              <w:jc w:val="center"/>
              <w:rPr>
                <w:rFonts w:ascii="Arial" w:hAnsi="Arial" w:cs="Arial"/>
              </w:rPr>
            </w:pPr>
            <w:r>
              <w:rPr>
                <w:rFonts w:ascii="Arial" w:hAnsi="Arial" w:cs="Arial"/>
                <w:sz w:val="19"/>
                <w:szCs w:val="19"/>
              </w:rPr>
              <w:t>Methionine</w:t>
            </w:r>
          </w:p>
        </w:tc>
        <w:tc>
          <w:tcPr>
            <w:tcW w:w="3120" w:type="dxa"/>
            <w:tcBorders>
              <w:top w:val="nil"/>
              <w:left w:val="nil"/>
              <w:bottom w:val="nil"/>
              <w:right w:val="nil"/>
            </w:tcBorders>
            <w:tcMar>
              <w:top w:w="55" w:type="dxa"/>
              <w:left w:w="90" w:type="dxa"/>
              <w:bottom w:w="55" w:type="dxa"/>
              <w:right w:w="90" w:type="dxa"/>
            </w:tcMar>
            <w:vAlign w:val="center"/>
          </w:tcPr>
          <w:p w14:paraId="10308396">
            <w:pPr>
              <w:spacing w:line="264" w:lineRule="auto"/>
              <w:jc w:val="center"/>
              <w:rPr>
                <w:rFonts w:ascii="Arial" w:hAnsi="Arial" w:cs="Arial"/>
              </w:rPr>
            </w:pPr>
            <w:r>
              <w:rPr>
                <w:rFonts w:ascii="Arial" w:hAnsi="Arial" w:cs="Arial"/>
                <w:sz w:val="19"/>
                <w:szCs w:val="19"/>
              </w:rPr>
              <w:t>1.5</w:t>
            </w:r>
          </w:p>
        </w:tc>
        <w:tc>
          <w:tcPr>
            <w:tcW w:w="3120" w:type="dxa"/>
            <w:tcBorders>
              <w:top w:val="nil"/>
              <w:left w:val="nil"/>
              <w:bottom w:val="nil"/>
              <w:right w:val="nil"/>
            </w:tcBorders>
            <w:tcMar>
              <w:top w:w="55" w:type="dxa"/>
              <w:left w:w="90" w:type="dxa"/>
              <w:bottom w:w="55" w:type="dxa"/>
              <w:right w:w="90" w:type="dxa"/>
            </w:tcMar>
            <w:vAlign w:val="center"/>
          </w:tcPr>
          <w:p w14:paraId="3034BFB9">
            <w:pPr>
              <w:spacing w:line="264" w:lineRule="auto"/>
              <w:jc w:val="center"/>
              <w:rPr>
                <w:rFonts w:ascii="Arial" w:hAnsi="Arial" w:cs="Arial"/>
              </w:rPr>
            </w:pPr>
            <w:r>
              <w:rPr>
                <w:rFonts w:ascii="Arial" w:hAnsi="Arial" w:cs="Arial"/>
                <w:sz w:val="19"/>
                <w:szCs w:val="19"/>
              </w:rPr>
              <w:t>1.35</w:t>
            </w:r>
          </w:p>
        </w:tc>
      </w:tr>
      <w:tr w14:paraId="39BC8D0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nil"/>
              <w:right w:val="nil"/>
            </w:tcBorders>
            <w:tcMar>
              <w:top w:w="55" w:type="dxa"/>
              <w:left w:w="90" w:type="dxa"/>
              <w:bottom w:w="55" w:type="dxa"/>
              <w:right w:w="90" w:type="dxa"/>
            </w:tcMar>
            <w:vAlign w:val="center"/>
          </w:tcPr>
          <w:p w14:paraId="4A75573F">
            <w:pPr>
              <w:spacing w:line="264" w:lineRule="auto"/>
              <w:jc w:val="center"/>
              <w:rPr>
                <w:rFonts w:ascii="Arial" w:hAnsi="Arial" w:cs="Arial"/>
              </w:rPr>
            </w:pPr>
            <w:r>
              <w:rPr>
                <w:rFonts w:ascii="Arial" w:hAnsi="Arial" w:cs="Arial"/>
                <w:sz w:val="19"/>
                <w:szCs w:val="19"/>
              </w:rPr>
              <w:t>Cystine</w:t>
            </w:r>
          </w:p>
        </w:tc>
        <w:tc>
          <w:tcPr>
            <w:tcW w:w="3120" w:type="dxa"/>
            <w:tcBorders>
              <w:top w:val="nil"/>
              <w:left w:val="nil"/>
              <w:bottom w:val="nil"/>
              <w:right w:val="nil"/>
            </w:tcBorders>
            <w:tcMar>
              <w:top w:w="55" w:type="dxa"/>
              <w:left w:w="90" w:type="dxa"/>
              <w:bottom w:w="55" w:type="dxa"/>
              <w:right w:w="90" w:type="dxa"/>
            </w:tcMar>
            <w:vAlign w:val="center"/>
          </w:tcPr>
          <w:p w14:paraId="12A0E654">
            <w:pPr>
              <w:spacing w:line="264" w:lineRule="auto"/>
              <w:jc w:val="center"/>
              <w:rPr>
                <w:rFonts w:ascii="Arial" w:hAnsi="Arial" w:cs="Arial"/>
              </w:rPr>
            </w:pPr>
            <w:r>
              <w:rPr>
                <w:rFonts w:ascii="Arial" w:hAnsi="Arial" w:cs="Arial"/>
                <w:sz w:val="19"/>
                <w:szCs w:val="19"/>
              </w:rPr>
              <w:t>1.5</w:t>
            </w:r>
          </w:p>
        </w:tc>
        <w:tc>
          <w:tcPr>
            <w:tcW w:w="3120" w:type="dxa"/>
            <w:tcBorders>
              <w:top w:val="nil"/>
              <w:left w:val="nil"/>
              <w:bottom w:val="nil"/>
              <w:right w:val="nil"/>
            </w:tcBorders>
            <w:tcMar>
              <w:top w:w="55" w:type="dxa"/>
              <w:left w:w="90" w:type="dxa"/>
              <w:bottom w:w="55" w:type="dxa"/>
              <w:right w:w="90" w:type="dxa"/>
            </w:tcMar>
            <w:vAlign w:val="center"/>
          </w:tcPr>
          <w:p w14:paraId="41B0E135">
            <w:pPr>
              <w:spacing w:line="264" w:lineRule="auto"/>
              <w:jc w:val="center"/>
              <w:rPr>
                <w:rFonts w:ascii="Arial" w:hAnsi="Arial" w:cs="Arial"/>
              </w:rPr>
            </w:pPr>
            <w:r>
              <w:rPr>
                <w:rFonts w:ascii="Arial" w:hAnsi="Arial" w:cs="Arial"/>
                <w:sz w:val="19"/>
                <w:szCs w:val="19"/>
              </w:rPr>
              <w:t>1.27</w:t>
            </w:r>
          </w:p>
        </w:tc>
      </w:tr>
      <w:tr w14:paraId="227898A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3120" w:type="dxa"/>
            <w:tcBorders>
              <w:top w:val="nil"/>
              <w:left w:val="nil"/>
              <w:bottom w:val="single" w:color="000000" w:sz="12" w:space="0"/>
              <w:right w:val="nil"/>
            </w:tcBorders>
            <w:tcMar>
              <w:top w:w="55" w:type="dxa"/>
              <w:left w:w="90" w:type="dxa"/>
              <w:bottom w:w="55" w:type="dxa"/>
              <w:right w:w="90" w:type="dxa"/>
            </w:tcMar>
            <w:vAlign w:val="center"/>
          </w:tcPr>
          <w:p w14:paraId="117B89DC">
            <w:pPr>
              <w:spacing w:line="264" w:lineRule="auto"/>
              <w:jc w:val="center"/>
              <w:rPr>
                <w:rFonts w:ascii="Arial" w:hAnsi="Arial" w:cs="Arial"/>
              </w:rPr>
            </w:pPr>
            <w:r>
              <w:rPr>
                <w:rFonts w:ascii="Arial" w:hAnsi="Arial" w:cs="Arial"/>
                <w:sz w:val="19"/>
                <w:szCs w:val="19"/>
              </w:rPr>
              <w:t>Tryptophan</w:t>
            </w:r>
          </w:p>
        </w:tc>
        <w:tc>
          <w:tcPr>
            <w:tcW w:w="3120" w:type="dxa"/>
            <w:tcBorders>
              <w:top w:val="nil"/>
              <w:left w:val="nil"/>
              <w:bottom w:val="single" w:color="000000" w:sz="12" w:space="0"/>
              <w:right w:val="nil"/>
            </w:tcBorders>
            <w:tcMar>
              <w:top w:w="55" w:type="dxa"/>
              <w:left w:w="90" w:type="dxa"/>
              <w:bottom w:w="55" w:type="dxa"/>
              <w:right w:w="90" w:type="dxa"/>
            </w:tcMar>
            <w:vAlign w:val="center"/>
          </w:tcPr>
          <w:p w14:paraId="4B646C80">
            <w:pPr>
              <w:spacing w:line="264" w:lineRule="auto"/>
              <w:jc w:val="center"/>
              <w:rPr>
                <w:rFonts w:ascii="Arial" w:hAnsi="Arial" w:cs="Arial"/>
              </w:rPr>
            </w:pPr>
            <w:r>
              <w:rPr>
                <w:rFonts w:ascii="Arial" w:hAnsi="Arial" w:cs="Arial"/>
                <w:sz w:val="19"/>
                <w:szCs w:val="19"/>
              </w:rPr>
              <w:t>1.3</w:t>
            </w:r>
          </w:p>
        </w:tc>
        <w:tc>
          <w:tcPr>
            <w:tcW w:w="3120" w:type="dxa"/>
            <w:tcBorders>
              <w:top w:val="nil"/>
              <w:left w:val="nil"/>
              <w:bottom w:val="single" w:color="000000" w:sz="12" w:space="0"/>
              <w:right w:val="nil"/>
            </w:tcBorders>
            <w:tcMar>
              <w:top w:w="55" w:type="dxa"/>
              <w:left w:w="90" w:type="dxa"/>
              <w:bottom w:w="55" w:type="dxa"/>
              <w:right w:w="90" w:type="dxa"/>
            </w:tcMar>
            <w:vAlign w:val="center"/>
          </w:tcPr>
          <w:p w14:paraId="66A35173">
            <w:pPr>
              <w:spacing w:line="264" w:lineRule="auto"/>
              <w:jc w:val="center"/>
              <w:rPr>
                <w:rFonts w:ascii="Arial" w:hAnsi="Arial" w:cs="Arial"/>
              </w:rPr>
            </w:pPr>
            <w:r>
              <w:rPr>
                <w:rFonts w:ascii="Arial" w:hAnsi="Arial" w:cs="Arial"/>
                <w:sz w:val="19"/>
                <w:szCs w:val="19"/>
              </w:rPr>
              <w:t>0.95</w:t>
            </w:r>
          </w:p>
        </w:tc>
      </w:tr>
    </w:tbl>
    <w:p w14:paraId="0784D30D">
      <w:pPr>
        <w:spacing w:before="50" w:after="60"/>
        <w:rPr>
          <w:rFonts w:ascii="Arial" w:hAnsi="Arial" w:cs="Arial"/>
        </w:rPr>
      </w:pPr>
      <w:r>
        <w:rPr>
          <w:rFonts w:ascii="Arial" w:hAnsi="Arial" w:cs="Arial"/>
          <w:sz w:val="17"/>
          <w:szCs w:val="17"/>
        </w:rPr>
        <w:t>Note: The amino acid values for Sustar PeptiMax are calculated from third</w:t>
      </w:r>
      <w:r>
        <w:rPr>
          <w:rFonts w:ascii="Cambria Math" w:hAnsi="Cambria Math" w:cs="Cambria Math"/>
          <w:sz w:val="17"/>
          <w:szCs w:val="17"/>
        </w:rPr>
        <w:t>‑</w:t>
      </w:r>
      <w:r>
        <w:rPr>
          <w:rFonts w:ascii="Arial" w:hAnsi="Arial" w:cs="Arial"/>
          <w:sz w:val="17"/>
          <w:szCs w:val="17"/>
        </w:rPr>
        <w:t xml:space="preserve">party test results of amino acid content, converted to per 100 g protein based on a crude protein level of 55%. The major limiting amino acids (lysine, leucine, threonine, isoleucine, etc.) are comparable to or slightly higher than those of the </w:t>
      </w:r>
      <w:r>
        <w:rPr>
          <w:rFonts w:hint="eastAsia" w:ascii="Arial" w:hAnsi="Arial" w:cs="Arial"/>
          <w:sz w:val="17"/>
          <w:szCs w:val="17"/>
          <w:lang w:eastAsia="zh-CN"/>
        </w:rPr>
        <w:t>premium</w:t>
      </w:r>
      <w:r>
        <w:rPr>
          <w:rFonts w:ascii="Arial" w:hAnsi="Arial" w:cs="Arial"/>
          <w:sz w:val="17"/>
          <w:szCs w:val="17"/>
        </w:rPr>
        <w:t xml:space="preserve"> product; methionine and tryptophan are slightly lower and can be supplemented with crystalline amino acids in formulation.</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340"/>
        <w:gridCol w:w="3510"/>
        <w:gridCol w:w="3510"/>
      </w:tblGrid>
      <w:tr w14:paraId="11A2EE1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blHeader/>
        </w:trPr>
        <w:tc>
          <w:tcPr>
            <w:tcW w:w="234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0271544E">
            <w:pPr>
              <w:spacing w:line="264" w:lineRule="auto"/>
              <w:jc w:val="left"/>
              <w:rPr>
                <w:rFonts w:ascii="Arial" w:hAnsi="Arial" w:cs="Arial"/>
              </w:rPr>
            </w:pPr>
            <w:r>
              <w:rPr>
                <w:rFonts w:ascii="Arial" w:hAnsi="Arial" w:cs="Arial"/>
                <w:b/>
                <w:sz w:val="20"/>
                <w:szCs w:val="20"/>
              </w:rPr>
              <w:t>Item</w:t>
            </w:r>
          </w:p>
        </w:tc>
        <w:tc>
          <w:tcPr>
            <w:tcW w:w="351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50BBDA2D">
            <w:pPr>
              <w:spacing w:line="264" w:lineRule="auto"/>
              <w:jc w:val="center"/>
              <w:rPr>
                <w:rFonts w:ascii="Arial" w:hAnsi="Arial" w:cs="Arial"/>
              </w:rPr>
            </w:pPr>
            <w:r>
              <w:rPr>
                <w:rFonts w:hint="eastAsia" w:ascii="Arial" w:hAnsi="Arial" w:cs="Arial"/>
                <w:b/>
                <w:sz w:val="20"/>
                <w:szCs w:val="20"/>
                <w:lang w:val="en-US" w:eastAsia="zh-CN"/>
              </w:rPr>
              <w:t>Premium</w:t>
            </w:r>
            <w:r>
              <w:rPr>
                <w:rFonts w:ascii="Arial" w:hAnsi="Arial" w:cs="Arial"/>
                <w:b/>
                <w:sz w:val="20"/>
                <w:szCs w:val="20"/>
              </w:rPr>
              <w:t xml:space="preserve"> Fermented Plant Protein</w:t>
            </w:r>
          </w:p>
        </w:tc>
        <w:tc>
          <w:tcPr>
            <w:tcW w:w="351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51ADBFC6">
            <w:pPr>
              <w:spacing w:line="264" w:lineRule="auto"/>
              <w:jc w:val="center"/>
              <w:rPr>
                <w:rFonts w:ascii="Arial" w:hAnsi="Arial" w:cs="Arial"/>
              </w:rPr>
            </w:pPr>
            <w:r>
              <w:rPr>
                <w:rFonts w:ascii="Arial" w:hAnsi="Arial" w:cs="Arial"/>
                <w:b/>
                <w:sz w:val="20"/>
                <w:szCs w:val="20"/>
              </w:rPr>
              <w:t>Sustar PeptiMax</w:t>
            </w:r>
          </w:p>
        </w:tc>
      </w:tr>
      <w:tr w14:paraId="5BB755B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3294B60F">
            <w:pPr>
              <w:spacing w:line="264" w:lineRule="auto"/>
              <w:jc w:val="left"/>
              <w:rPr>
                <w:rFonts w:ascii="Arial" w:hAnsi="Arial" w:cs="Arial"/>
              </w:rPr>
            </w:pPr>
            <w:r>
              <w:rPr>
                <w:rFonts w:ascii="Arial" w:hAnsi="Arial" w:cs="Arial"/>
                <w:sz w:val="19"/>
                <w:szCs w:val="19"/>
              </w:rPr>
              <w:t>Product type</w:t>
            </w:r>
          </w:p>
        </w:tc>
        <w:tc>
          <w:tcPr>
            <w:tcW w:w="3510" w:type="dxa"/>
            <w:tcBorders>
              <w:top w:val="nil"/>
              <w:left w:val="nil"/>
              <w:bottom w:val="nil"/>
              <w:right w:val="nil"/>
            </w:tcBorders>
            <w:tcMar>
              <w:top w:w="55" w:type="dxa"/>
              <w:left w:w="90" w:type="dxa"/>
              <w:bottom w:w="55" w:type="dxa"/>
              <w:right w:w="90" w:type="dxa"/>
            </w:tcMar>
            <w:vAlign w:val="center"/>
          </w:tcPr>
          <w:p w14:paraId="0E191ECA">
            <w:pPr>
              <w:spacing w:line="264" w:lineRule="auto"/>
              <w:jc w:val="center"/>
              <w:rPr>
                <w:rFonts w:ascii="Arial" w:hAnsi="Arial" w:cs="Arial"/>
              </w:rPr>
            </w:pPr>
            <w:r>
              <w:rPr>
                <w:rFonts w:ascii="Arial" w:hAnsi="Arial" w:cs="Arial"/>
                <w:sz w:val="19"/>
                <w:szCs w:val="19"/>
              </w:rPr>
              <w:t>Fermented plant protein</w:t>
            </w:r>
          </w:p>
        </w:tc>
        <w:tc>
          <w:tcPr>
            <w:tcW w:w="3510" w:type="dxa"/>
            <w:tcBorders>
              <w:top w:val="nil"/>
              <w:left w:val="nil"/>
              <w:bottom w:val="nil"/>
              <w:right w:val="nil"/>
            </w:tcBorders>
            <w:tcMar>
              <w:top w:w="55" w:type="dxa"/>
              <w:left w:w="90" w:type="dxa"/>
              <w:bottom w:w="55" w:type="dxa"/>
              <w:right w:w="90" w:type="dxa"/>
            </w:tcMar>
            <w:vAlign w:val="center"/>
          </w:tcPr>
          <w:p w14:paraId="74BEEDD7">
            <w:pPr>
              <w:spacing w:line="264" w:lineRule="auto"/>
              <w:jc w:val="center"/>
              <w:rPr>
                <w:rFonts w:ascii="Arial" w:hAnsi="Arial" w:cs="Arial"/>
              </w:rPr>
            </w:pPr>
            <w:r>
              <w:rPr>
                <w:rFonts w:ascii="Arial" w:hAnsi="Arial" w:cs="Arial"/>
                <w:sz w:val="19"/>
                <w:szCs w:val="19"/>
              </w:rPr>
              <w:t>Fermented plant protein + yeast culture</w:t>
            </w:r>
          </w:p>
        </w:tc>
      </w:tr>
      <w:tr w14:paraId="09BEBC6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nil"/>
              <w:right w:val="nil"/>
            </w:tcBorders>
            <w:tcMar>
              <w:top w:w="55" w:type="dxa"/>
              <w:left w:w="90" w:type="dxa"/>
              <w:bottom w:w="55" w:type="dxa"/>
              <w:right w:w="90" w:type="dxa"/>
            </w:tcMar>
            <w:vAlign w:val="center"/>
          </w:tcPr>
          <w:p w14:paraId="2360ADE5">
            <w:pPr>
              <w:spacing w:line="264" w:lineRule="auto"/>
              <w:jc w:val="left"/>
              <w:rPr>
                <w:rFonts w:ascii="Arial" w:hAnsi="Arial" w:cs="Arial"/>
              </w:rPr>
            </w:pPr>
            <w:r>
              <w:rPr>
                <w:rFonts w:ascii="Arial" w:hAnsi="Arial" w:cs="Arial"/>
                <w:sz w:val="19"/>
                <w:szCs w:val="19"/>
              </w:rPr>
              <w:t>Protein source</w:t>
            </w:r>
          </w:p>
        </w:tc>
        <w:tc>
          <w:tcPr>
            <w:tcW w:w="3510" w:type="dxa"/>
            <w:tcBorders>
              <w:top w:val="nil"/>
              <w:left w:val="nil"/>
              <w:bottom w:val="nil"/>
              <w:right w:val="nil"/>
            </w:tcBorders>
            <w:tcMar>
              <w:top w:w="55" w:type="dxa"/>
              <w:left w:w="90" w:type="dxa"/>
              <w:bottom w:w="55" w:type="dxa"/>
              <w:right w:w="90" w:type="dxa"/>
            </w:tcMar>
            <w:vAlign w:val="center"/>
          </w:tcPr>
          <w:p w14:paraId="4EFBDE31">
            <w:pPr>
              <w:spacing w:line="264" w:lineRule="auto"/>
              <w:jc w:val="center"/>
              <w:rPr>
                <w:rFonts w:ascii="Arial" w:hAnsi="Arial" w:cs="Arial"/>
              </w:rPr>
            </w:pPr>
            <w:r>
              <w:rPr>
                <w:rFonts w:ascii="Arial" w:hAnsi="Arial" w:cs="Arial"/>
                <w:sz w:val="19"/>
                <w:szCs w:val="19"/>
              </w:rPr>
              <w:t>Plant protein</w:t>
            </w:r>
          </w:p>
        </w:tc>
        <w:tc>
          <w:tcPr>
            <w:tcW w:w="3510" w:type="dxa"/>
            <w:tcBorders>
              <w:top w:val="nil"/>
              <w:left w:val="nil"/>
              <w:bottom w:val="nil"/>
              <w:right w:val="nil"/>
            </w:tcBorders>
            <w:tcMar>
              <w:top w:w="55" w:type="dxa"/>
              <w:left w:w="90" w:type="dxa"/>
              <w:bottom w:w="55" w:type="dxa"/>
              <w:right w:w="90" w:type="dxa"/>
            </w:tcMar>
            <w:vAlign w:val="center"/>
          </w:tcPr>
          <w:p w14:paraId="2F87D9E4">
            <w:pPr>
              <w:spacing w:line="264" w:lineRule="auto"/>
              <w:jc w:val="center"/>
              <w:rPr>
                <w:rFonts w:ascii="Arial" w:hAnsi="Arial" w:cs="Arial"/>
              </w:rPr>
            </w:pPr>
            <w:r>
              <w:rPr>
                <w:rFonts w:ascii="Arial" w:hAnsi="Arial" w:cs="Arial"/>
                <w:sz w:val="19"/>
                <w:szCs w:val="19"/>
              </w:rPr>
              <w:t>Plant protein + yeast protein</w:t>
            </w:r>
          </w:p>
        </w:tc>
      </w:tr>
      <w:tr w14:paraId="7A5D599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340" w:type="dxa"/>
            <w:tcBorders>
              <w:top w:val="nil"/>
              <w:left w:val="nil"/>
              <w:bottom w:val="single" w:color="000000" w:sz="12" w:space="0"/>
              <w:right w:val="nil"/>
            </w:tcBorders>
            <w:tcMar>
              <w:top w:w="55" w:type="dxa"/>
              <w:left w:w="90" w:type="dxa"/>
              <w:bottom w:w="55" w:type="dxa"/>
              <w:right w:w="90" w:type="dxa"/>
            </w:tcMar>
            <w:vAlign w:val="center"/>
          </w:tcPr>
          <w:p w14:paraId="35C24B6B">
            <w:pPr>
              <w:spacing w:line="264" w:lineRule="auto"/>
              <w:jc w:val="left"/>
              <w:rPr>
                <w:rFonts w:ascii="Arial" w:hAnsi="Arial" w:cs="Arial"/>
              </w:rPr>
            </w:pPr>
            <w:r>
              <w:rPr>
                <w:rFonts w:ascii="Arial" w:hAnsi="Arial" w:cs="Arial"/>
                <w:sz w:val="19"/>
                <w:szCs w:val="19"/>
              </w:rPr>
              <w:t>Functional components</w:t>
            </w:r>
          </w:p>
        </w:tc>
        <w:tc>
          <w:tcPr>
            <w:tcW w:w="3510" w:type="dxa"/>
            <w:tcBorders>
              <w:top w:val="nil"/>
              <w:left w:val="nil"/>
              <w:bottom w:val="single" w:color="000000" w:sz="12" w:space="0"/>
              <w:right w:val="nil"/>
            </w:tcBorders>
            <w:tcMar>
              <w:top w:w="55" w:type="dxa"/>
              <w:left w:w="90" w:type="dxa"/>
              <w:bottom w:w="55" w:type="dxa"/>
              <w:right w:w="90" w:type="dxa"/>
            </w:tcMar>
            <w:vAlign w:val="center"/>
          </w:tcPr>
          <w:p w14:paraId="79D4229B">
            <w:pPr>
              <w:spacing w:line="264" w:lineRule="auto"/>
              <w:jc w:val="center"/>
              <w:rPr>
                <w:rFonts w:ascii="Arial" w:hAnsi="Arial" w:cs="Arial"/>
              </w:rPr>
            </w:pPr>
            <w:r>
              <w:rPr>
                <w:rFonts w:ascii="Arial" w:hAnsi="Arial" w:cs="Arial"/>
                <w:sz w:val="19"/>
                <w:szCs w:val="19"/>
              </w:rPr>
              <w:t>Fermentation</w:t>
            </w:r>
            <w:r>
              <w:rPr>
                <w:rFonts w:ascii="Cambria Math" w:hAnsi="Cambria Math" w:cs="Cambria Math"/>
                <w:sz w:val="19"/>
                <w:szCs w:val="19"/>
              </w:rPr>
              <w:t>‑</w:t>
            </w:r>
            <w:r>
              <w:rPr>
                <w:rFonts w:ascii="Arial" w:hAnsi="Arial" w:cs="Arial"/>
                <w:sz w:val="19"/>
                <w:szCs w:val="19"/>
              </w:rPr>
              <w:t>derived active ingredients</w:t>
            </w:r>
          </w:p>
        </w:tc>
        <w:tc>
          <w:tcPr>
            <w:tcW w:w="3510" w:type="dxa"/>
            <w:tcBorders>
              <w:top w:val="nil"/>
              <w:left w:val="nil"/>
              <w:bottom w:val="single" w:color="000000" w:sz="12" w:space="0"/>
              <w:right w:val="nil"/>
            </w:tcBorders>
            <w:tcMar>
              <w:top w:w="55" w:type="dxa"/>
              <w:left w:w="90" w:type="dxa"/>
              <w:bottom w:w="55" w:type="dxa"/>
              <w:right w:w="90" w:type="dxa"/>
            </w:tcMar>
            <w:vAlign w:val="center"/>
          </w:tcPr>
          <w:p w14:paraId="6FA3CC00">
            <w:pPr>
              <w:spacing w:line="264" w:lineRule="auto"/>
              <w:jc w:val="center"/>
              <w:rPr>
                <w:rFonts w:ascii="Arial" w:hAnsi="Arial" w:cs="Arial"/>
              </w:rPr>
            </w:pPr>
            <w:r>
              <w:rPr>
                <w:rFonts w:ascii="Arial" w:hAnsi="Arial" w:cs="Arial"/>
                <w:sz w:val="19"/>
                <w:szCs w:val="19"/>
              </w:rPr>
              <w:t>Active yeast cells, β</w:t>
            </w:r>
            <w:r>
              <w:rPr>
                <w:rFonts w:ascii="Cambria Math" w:hAnsi="Cambria Math" w:cs="Cambria Math"/>
                <w:sz w:val="19"/>
                <w:szCs w:val="19"/>
              </w:rPr>
              <w:t>‑</w:t>
            </w:r>
            <w:r>
              <w:rPr>
                <w:rFonts w:ascii="Arial" w:hAnsi="Arial" w:cs="Arial"/>
                <w:sz w:val="19"/>
                <w:szCs w:val="19"/>
              </w:rPr>
              <w:t xml:space="preserve">glucan, </w:t>
            </w:r>
          </w:p>
          <w:p w14:paraId="2BC36C9D">
            <w:pPr>
              <w:spacing w:line="264" w:lineRule="auto"/>
              <w:jc w:val="center"/>
              <w:rPr>
                <w:rFonts w:ascii="Arial" w:hAnsi="Arial" w:cs="Arial"/>
              </w:rPr>
            </w:pPr>
            <w:r>
              <w:rPr>
                <w:rFonts w:ascii="Arial" w:hAnsi="Arial" w:cs="Arial"/>
                <w:sz w:val="19"/>
                <w:szCs w:val="19"/>
              </w:rPr>
              <w:t>mannanoligosaccharides, yeast metabolites</w:t>
            </w:r>
          </w:p>
        </w:tc>
      </w:tr>
    </w:tbl>
    <w:p w14:paraId="6A439654">
      <w:pPr>
        <w:spacing w:before="50" w:after="60"/>
        <w:rPr>
          <w:rFonts w:ascii="Arial" w:hAnsi="Arial" w:cs="Arial"/>
        </w:rPr>
      </w:pPr>
      <w:r>
        <w:rPr>
          <w:rFonts w:ascii="Arial" w:hAnsi="Arial" w:cs="Arial"/>
          <w:sz w:val="17"/>
          <w:szCs w:val="17"/>
        </w:rPr>
        <w:t>Note: The above table provides an objective comparison of product characteristics and supply methods, and does not constitute an evaluation of the efficacy of any brand. Actual application results should be verified through practical formulation and feeding trials.</w:t>
      </w:r>
    </w:p>
    <w:p w14:paraId="3DEAFAA5">
      <w:pPr>
        <w:spacing w:before="320" w:after="150"/>
        <w:outlineLvl w:val="0"/>
        <w:rPr>
          <w:rFonts w:ascii="Arial" w:hAnsi="Arial" w:cs="Arial"/>
        </w:rPr>
      </w:pPr>
      <w:r>
        <w:rPr>
          <w:rFonts w:ascii="Arial" w:hAnsi="Arial" w:eastAsia="黑体" w:cs="Arial"/>
          <w:b/>
          <w:sz w:val="32"/>
          <w:szCs w:val="32"/>
        </w:rPr>
        <w:t>VIII. Recommended Inclusion Rates and Substitution Strategies</w:t>
      </w:r>
    </w:p>
    <w:p w14:paraId="7A9E5585">
      <w:pPr>
        <w:spacing w:before="190" w:after="80"/>
        <w:outlineLvl w:val="1"/>
        <w:rPr>
          <w:rFonts w:ascii="Arial" w:hAnsi="Arial" w:cs="Arial"/>
        </w:rPr>
      </w:pPr>
      <w:r>
        <w:rPr>
          <w:rFonts w:ascii="Arial" w:hAnsi="Arial" w:eastAsia="黑体" w:cs="Arial"/>
          <w:b/>
          <w:sz w:val="24"/>
          <w:szCs w:val="24"/>
        </w:rPr>
        <w:t xml:space="preserve">8.1 Recommended </w:t>
      </w:r>
      <w:bookmarkStart w:id="0" w:name="OLE_LINK1"/>
      <w:r>
        <w:rPr>
          <w:rFonts w:ascii="Arial" w:hAnsi="Arial" w:eastAsia="黑体" w:cs="Arial"/>
          <w:b/>
          <w:sz w:val="24"/>
          <w:szCs w:val="24"/>
        </w:rPr>
        <w:t>Inclusion Rates</w:t>
      </w:r>
      <w:bookmarkEnd w:id="0"/>
    </w:p>
    <w:tbl>
      <w:tblPr>
        <w:tblStyle w:val="14"/>
        <w:tblW w:w="9360" w:type="dxa"/>
        <w:jc w:val="center"/>
        <w:tblLayout w:type="autofit"/>
        <w:tblCellMar>
          <w:top w:w="0" w:type="dxa"/>
          <w:left w:w="108" w:type="dxa"/>
          <w:bottom w:w="0" w:type="dxa"/>
          <w:right w:w="108" w:type="dxa"/>
        </w:tblCellMar>
      </w:tblPr>
      <w:tblGrid>
        <w:gridCol w:w="5607"/>
        <w:gridCol w:w="3753"/>
      </w:tblGrid>
      <w:tr w14:paraId="72F45C60">
        <w:tblPrEx>
          <w:tblCellMar>
            <w:top w:w="0" w:type="dxa"/>
            <w:left w:w="108" w:type="dxa"/>
            <w:bottom w:w="0" w:type="dxa"/>
            <w:right w:w="108" w:type="dxa"/>
          </w:tblCellMar>
        </w:tblPrEx>
        <w:trPr>
          <w:tblHeader/>
          <w:jc w:val="center"/>
        </w:trPr>
        <w:tc>
          <w:tcPr>
            <w:tcW w:w="5607" w:type="dxa"/>
            <w:tcBorders>
              <w:top w:val="single" w:color="auto" w:sz="12" w:space="0"/>
              <w:left w:val="nil"/>
              <w:bottom w:val="nil"/>
              <w:right w:val="nil"/>
            </w:tcBorders>
            <w:tcMar>
              <w:top w:w="-1" w:type="dxa"/>
              <w:left w:w="-1" w:type="dxa"/>
              <w:bottom w:w="-1" w:type="dxa"/>
              <w:right w:w="-1" w:type="dxa"/>
            </w:tcMar>
            <w:vAlign w:val="center"/>
          </w:tcPr>
          <w:p w14:paraId="2743B765">
            <w:pPr>
              <w:widowControl/>
              <w:snapToGrid w:val="0"/>
              <w:textAlignment w:val="center"/>
              <w:rPr>
                <w:rFonts w:ascii="Arial" w:hAnsi="Arial" w:cs="Arial"/>
                <w:b/>
                <w:sz w:val="22"/>
                <w:szCs w:val="22"/>
              </w:rPr>
            </w:pPr>
            <w:r>
              <w:rPr>
                <w:rFonts w:hint="eastAsia" w:ascii="Arial" w:hAnsi="Arial" w:cs="Arial"/>
                <w:b/>
                <w:sz w:val="22"/>
                <w:szCs w:val="22"/>
              </w:rPr>
              <w:t>Category</w:t>
            </w:r>
          </w:p>
        </w:tc>
        <w:tc>
          <w:tcPr>
            <w:tcW w:w="3753" w:type="dxa"/>
            <w:tcBorders>
              <w:top w:val="single" w:color="auto" w:sz="12" w:space="0"/>
              <w:left w:val="nil"/>
              <w:bottom w:val="nil"/>
              <w:right w:val="nil"/>
            </w:tcBorders>
            <w:tcMar>
              <w:top w:w="-1" w:type="dxa"/>
              <w:left w:w="-1" w:type="dxa"/>
              <w:bottom w:w="-1" w:type="dxa"/>
              <w:right w:w="-1" w:type="dxa"/>
            </w:tcMar>
            <w:vAlign w:val="center"/>
          </w:tcPr>
          <w:p w14:paraId="6BDF5CB4">
            <w:pPr>
              <w:widowControl/>
              <w:snapToGrid w:val="0"/>
              <w:jc w:val="center"/>
              <w:textAlignment w:val="center"/>
              <w:rPr>
                <w:rFonts w:ascii="Arial" w:hAnsi="Arial" w:cs="Arial"/>
                <w:b/>
                <w:sz w:val="22"/>
                <w:szCs w:val="22"/>
              </w:rPr>
            </w:pPr>
            <w:r>
              <w:rPr>
                <w:rFonts w:ascii="Arial" w:hAnsi="Arial" w:cs="Arial"/>
                <w:b/>
                <w:sz w:val="22"/>
                <w:szCs w:val="22"/>
              </w:rPr>
              <w:t xml:space="preserve">Recommended </w:t>
            </w:r>
            <w:r>
              <w:rPr>
                <w:rFonts w:ascii="Arial" w:hAnsi="Arial" w:eastAsia="黑体" w:cs="Arial"/>
                <w:b/>
                <w:sz w:val="24"/>
                <w:szCs w:val="24"/>
              </w:rPr>
              <w:t>Inclusion Rate</w:t>
            </w:r>
          </w:p>
        </w:tc>
      </w:tr>
      <w:tr w14:paraId="4AF24E80">
        <w:tblPrEx>
          <w:tblCellMar>
            <w:top w:w="0" w:type="dxa"/>
            <w:left w:w="108" w:type="dxa"/>
            <w:bottom w:w="0" w:type="dxa"/>
            <w:right w:w="108" w:type="dxa"/>
          </w:tblCellMar>
        </w:tblPrEx>
        <w:trPr>
          <w:jc w:val="center"/>
        </w:trPr>
        <w:tc>
          <w:tcPr>
            <w:tcW w:w="5607" w:type="dxa"/>
            <w:tcBorders>
              <w:top w:val="single" w:color="auto" w:sz="4" w:space="0"/>
              <w:left w:val="nil"/>
              <w:bottom w:val="nil"/>
              <w:right w:val="nil"/>
            </w:tcBorders>
            <w:tcMar>
              <w:top w:w="-1" w:type="dxa"/>
              <w:left w:w="-1" w:type="dxa"/>
              <w:bottom w:w="-1" w:type="dxa"/>
              <w:right w:w="-1" w:type="dxa"/>
            </w:tcMar>
            <w:vAlign w:val="center"/>
          </w:tcPr>
          <w:p w14:paraId="2388B9CD">
            <w:pPr>
              <w:widowControl/>
              <w:snapToGrid w:val="0"/>
              <w:jc w:val="left"/>
              <w:textAlignment w:val="center"/>
              <w:rPr>
                <w:rFonts w:ascii="Arial" w:hAnsi="Arial" w:cs="Arial"/>
                <w:b/>
                <w:sz w:val="22"/>
                <w:szCs w:val="22"/>
              </w:rPr>
            </w:pPr>
            <w:r>
              <w:rPr>
                <w:rFonts w:ascii="Arial" w:hAnsi="Arial" w:cs="Arial"/>
                <w:b/>
                <w:sz w:val="22"/>
                <w:szCs w:val="22"/>
              </w:rPr>
              <w:t>Piglet feed</w:t>
            </w:r>
          </w:p>
        </w:tc>
        <w:tc>
          <w:tcPr>
            <w:tcW w:w="3753" w:type="dxa"/>
            <w:tcBorders>
              <w:top w:val="single" w:color="auto" w:sz="4" w:space="0"/>
              <w:left w:val="nil"/>
              <w:bottom w:val="nil"/>
              <w:right w:val="nil"/>
            </w:tcBorders>
            <w:tcMar>
              <w:top w:w="-1" w:type="dxa"/>
              <w:left w:w="-1" w:type="dxa"/>
              <w:bottom w:w="-1" w:type="dxa"/>
              <w:right w:w="-1" w:type="dxa"/>
            </w:tcMar>
            <w:vAlign w:val="center"/>
          </w:tcPr>
          <w:p w14:paraId="4F4CA8BE">
            <w:pPr>
              <w:widowControl/>
              <w:snapToGrid w:val="0"/>
              <w:jc w:val="center"/>
              <w:textAlignment w:val="center"/>
              <w:rPr>
                <w:rFonts w:ascii="Arial" w:hAnsi="Arial" w:cs="Arial"/>
                <w:sz w:val="22"/>
                <w:szCs w:val="22"/>
              </w:rPr>
            </w:pPr>
            <w:r>
              <w:rPr>
                <w:rFonts w:ascii="Arial" w:hAnsi="Arial" w:cs="Arial"/>
                <w:sz w:val="22"/>
                <w:szCs w:val="22"/>
              </w:rPr>
              <w:t>3-5%</w:t>
            </w:r>
          </w:p>
        </w:tc>
      </w:tr>
      <w:tr w14:paraId="43DCF876">
        <w:tblPrEx>
          <w:tblCellMar>
            <w:top w:w="0" w:type="dxa"/>
            <w:left w:w="108" w:type="dxa"/>
            <w:bottom w:w="0" w:type="dxa"/>
            <w:right w:w="108" w:type="dxa"/>
          </w:tblCellMar>
        </w:tblPrEx>
        <w:trPr>
          <w:jc w:val="center"/>
        </w:trPr>
        <w:tc>
          <w:tcPr>
            <w:tcW w:w="5607" w:type="dxa"/>
            <w:tcBorders>
              <w:top w:val="nil"/>
              <w:left w:val="nil"/>
              <w:bottom w:val="nil"/>
              <w:right w:val="nil"/>
            </w:tcBorders>
            <w:tcMar>
              <w:top w:w="-1" w:type="dxa"/>
              <w:left w:w="-1" w:type="dxa"/>
              <w:bottom w:w="-1" w:type="dxa"/>
              <w:right w:w="-1" w:type="dxa"/>
            </w:tcMar>
            <w:vAlign w:val="center"/>
          </w:tcPr>
          <w:p w14:paraId="4CBA574C">
            <w:pPr>
              <w:widowControl/>
              <w:snapToGrid w:val="0"/>
              <w:jc w:val="left"/>
              <w:textAlignment w:val="center"/>
              <w:rPr>
                <w:rFonts w:ascii="Arial" w:hAnsi="Arial" w:cs="Arial"/>
                <w:b/>
                <w:sz w:val="22"/>
                <w:szCs w:val="22"/>
              </w:rPr>
            </w:pPr>
            <w:r>
              <w:rPr>
                <w:rFonts w:ascii="Arial" w:hAnsi="Arial" w:cs="Arial"/>
                <w:b/>
                <w:sz w:val="22"/>
                <w:szCs w:val="22"/>
              </w:rPr>
              <w:t>Poultry feed</w:t>
            </w:r>
          </w:p>
        </w:tc>
        <w:tc>
          <w:tcPr>
            <w:tcW w:w="3753" w:type="dxa"/>
            <w:tcBorders>
              <w:top w:val="nil"/>
              <w:left w:val="nil"/>
              <w:bottom w:val="nil"/>
              <w:right w:val="nil"/>
            </w:tcBorders>
            <w:tcMar>
              <w:top w:w="-1" w:type="dxa"/>
              <w:left w:w="-1" w:type="dxa"/>
              <w:bottom w:w="-1" w:type="dxa"/>
              <w:right w:w="-1" w:type="dxa"/>
            </w:tcMar>
            <w:vAlign w:val="center"/>
          </w:tcPr>
          <w:p w14:paraId="23B3CD70">
            <w:pPr>
              <w:widowControl/>
              <w:snapToGrid w:val="0"/>
              <w:jc w:val="center"/>
              <w:textAlignment w:val="center"/>
              <w:rPr>
                <w:rFonts w:ascii="Arial" w:hAnsi="Arial" w:cs="Arial"/>
                <w:sz w:val="22"/>
                <w:szCs w:val="22"/>
              </w:rPr>
            </w:pPr>
            <w:r>
              <w:rPr>
                <w:rFonts w:ascii="Arial" w:hAnsi="Arial" w:cs="Arial"/>
                <w:sz w:val="22"/>
                <w:szCs w:val="22"/>
              </w:rPr>
              <w:t>1-3%</w:t>
            </w:r>
          </w:p>
        </w:tc>
      </w:tr>
      <w:tr w14:paraId="63C29E57">
        <w:tblPrEx>
          <w:tblCellMar>
            <w:top w:w="0" w:type="dxa"/>
            <w:left w:w="108" w:type="dxa"/>
            <w:bottom w:w="0" w:type="dxa"/>
            <w:right w:w="108" w:type="dxa"/>
          </w:tblCellMar>
        </w:tblPrEx>
        <w:trPr>
          <w:jc w:val="center"/>
        </w:trPr>
        <w:tc>
          <w:tcPr>
            <w:tcW w:w="5607" w:type="dxa"/>
            <w:tcBorders>
              <w:top w:val="nil"/>
              <w:left w:val="nil"/>
              <w:bottom w:val="nil"/>
              <w:right w:val="nil"/>
            </w:tcBorders>
            <w:tcMar>
              <w:top w:w="-1" w:type="dxa"/>
              <w:left w:w="-1" w:type="dxa"/>
              <w:bottom w:w="-1" w:type="dxa"/>
              <w:right w:w="-1" w:type="dxa"/>
            </w:tcMar>
            <w:vAlign w:val="center"/>
          </w:tcPr>
          <w:p w14:paraId="0F34983E">
            <w:pPr>
              <w:widowControl/>
              <w:snapToGrid w:val="0"/>
              <w:jc w:val="left"/>
              <w:textAlignment w:val="center"/>
              <w:rPr>
                <w:rFonts w:ascii="Arial" w:hAnsi="Arial" w:cs="Arial"/>
                <w:b/>
                <w:sz w:val="22"/>
                <w:szCs w:val="22"/>
              </w:rPr>
            </w:pPr>
            <w:r>
              <w:rPr>
                <w:rFonts w:ascii="Arial" w:hAnsi="Arial" w:cs="Arial"/>
                <w:b/>
                <w:sz w:val="22"/>
                <w:szCs w:val="22"/>
              </w:rPr>
              <w:t>Sow feed, grower</w:t>
            </w:r>
            <w:r>
              <w:rPr>
                <w:rFonts w:ascii="Cambria Math" w:hAnsi="Cambria Math" w:cs="Cambria Math"/>
                <w:b/>
                <w:sz w:val="22"/>
                <w:szCs w:val="22"/>
              </w:rPr>
              <w:t>‑</w:t>
            </w:r>
            <w:r>
              <w:rPr>
                <w:rFonts w:ascii="Arial" w:hAnsi="Arial" w:cs="Arial"/>
                <w:b/>
                <w:sz w:val="22"/>
                <w:szCs w:val="22"/>
              </w:rPr>
              <w:t>finisher pig feed</w:t>
            </w:r>
          </w:p>
        </w:tc>
        <w:tc>
          <w:tcPr>
            <w:tcW w:w="3753" w:type="dxa"/>
            <w:tcBorders>
              <w:top w:val="nil"/>
              <w:left w:val="nil"/>
              <w:bottom w:val="nil"/>
              <w:right w:val="nil"/>
            </w:tcBorders>
            <w:tcMar>
              <w:top w:w="-1" w:type="dxa"/>
              <w:left w:w="-1" w:type="dxa"/>
              <w:bottom w:w="-1" w:type="dxa"/>
              <w:right w:w="-1" w:type="dxa"/>
            </w:tcMar>
            <w:vAlign w:val="center"/>
          </w:tcPr>
          <w:p w14:paraId="6FC14009">
            <w:pPr>
              <w:widowControl/>
              <w:snapToGrid w:val="0"/>
              <w:jc w:val="center"/>
              <w:textAlignment w:val="center"/>
              <w:rPr>
                <w:rFonts w:ascii="Arial" w:hAnsi="Arial" w:cs="Arial"/>
                <w:sz w:val="22"/>
                <w:szCs w:val="22"/>
              </w:rPr>
            </w:pPr>
            <w:r>
              <w:rPr>
                <w:rFonts w:ascii="Arial" w:hAnsi="Arial" w:cs="Arial"/>
                <w:sz w:val="22"/>
                <w:szCs w:val="22"/>
              </w:rPr>
              <w:t>5%</w:t>
            </w:r>
          </w:p>
        </w:tc>
      </w:tr>
      <w:tr w14:paraId="51FC2024">
        <w:tblPrEx>
          <w:tblCellMar>
            <w:top w:w="0" w:type="dxa"/>
            <w:left w:w="108" w:type="dxa"/>
            <w:bottom w:w="0" w:type="dxa"/>
            <w:right w:w="108" w:type="dxa"/>
          </w:tblCellMar>
        </w:tblPrEx>
        <w:trPr>
          <w:jc w:val="center"/>
        </w:trPr>
        <w:tc>
          <w:tcPr>
            <w:tcW w:w="5607" w:type="dxa"/>
            <w:tcBorders>
              <w:top w:val="nil"/>
              <w:left w:val="nil"/>
              <w:bottom w:val="nil"/>
              <w:right w:val="nil"/>
            </w:tcBorders>
            <w:tcMar>
              <w:top w:w="-1" w:type="dxa"/>
              <w:left w:w="-1" w:type="dxa"/>
              <w:bottom w:w="-1" w:type="dxa"/>
              <w:right w:w="-1" w:type="dxa"/>
            </w:tcMar>
            <w:vAlign w:val="center"/>
          </w:tcPr>
          <w:p w14:paraId="3C416039">
            <w:pPr>
              <w:widowControl/>
              <w:snapToGrid w:val="0"/>
              <w:jc w:val="left"/>
              <w:textAlignment w:val="center"/>
              <w:rPr>
                <w:rFonts w:ascii="Arial" w:hAnsi="Arial" w:cs="Arial"/>
                <w:b/>
                <w:sz w:val="22"/>
                <w:szCs w:val="22"/>
              </w:rPr>
            </w:pPr>
            <w:r>
              <w:rPr>
                <w:rFonts w:ascii="Arial" w:hAnsi="Arial" w:cs="Arial"/>
                <w:b/>
                <w:sz w:val="22"/>
                <w:szCs w:val="22"/>
              </w:rPr>
              <w:t>Fish and shrimp feed (aquafeed)</w:t>
            </w:r>
          </w:p>
        </w:tc>
        <w:tc>
          <w:tcPr>
            <w:tcW w:w="3753" w:type="dxa"/>
            <w:tcBorders>
              <w:top w:val="nil"/>
              <w:left w:val="nil"/>
              <w:bottom w:val="nil"/>
              <w:right w:val="nil"/>
            </w:tcBorders>
            <w:tcMar>
              <w:top w:w="-1" w:type="dxa"/>
              <w:left w:w="-1" w:type="dxa"/>
              <w:bottom w:w="-1" w:type="dxa"/>
              <w:right w:w="-1" w:type="dxa"/>
            </w:tcMar>
            <w:vAlign w:val="center"/>
          </w:tcPr>
          <w:p w14:paraId="331544C6">
            <w:pPr>
              <w:widowControl/>
              <w:snapToGrid w:val="0"/>
              <w:jc w:val="center"/>
              <w:textAlignment w:val="center"/>
              <w:rPr>
                <w:rFonts w:ascii="Arial" w:hAnsi="Arial" w:cs="Arial"/>
                <w:sz w:val="22"/>
                <w:szCs w:val="22"/>
              </w:rPr>
            </w:pPr>
            <w:r>
              <w:rPr>
                <w:rFonts w:ascii="Arial" w:hAnsi="Arial" w:cs="Arial"/>
                <w:sz w:val="22"/>
                <w:szCs w:val="22"/>
              </w:rPr>
              <w:t>3-5%</w:t>
            </w:r>
          </w:p>
        </w:tc>
      </w:tr>
      <w:tr w14:paraId="6EA81F19">
        <w:tblPrEx>
          <w:tblCellMar>
            <w:top w:w="0" w:type="dxa"/>
            <w:left w:w="108" w:type="dxa"/>
            <w:bottom w:w="0" w:type="dxa"/>
            <w:right w:w="108" w:type="dxa"/>
          </w:tblCellMar>
        </w:tblPrEx>
        <w:trPr>
          <w:jc w:val="center"/>
        </w:trPr>
        <w:tc>
          <w:tcPr>
            <w:tcW w:w="5607" w:type="dxa"/>
            <w:tcBorders>
              <w:top w:val="nil"/>
              <w:left w:val="nil"/>
              <w:bottom w:val="single" w:color="auto" w:sz="12" w:space="0"/>
              <w:right w:val="nil"/>
            </w:tcBorders>
            <w:tcMar>
              <w:top w:w="-1" w:type="dxa"/>
              <w:left w:w="-1" w:type="dxa"/>
              <w:bottom w:w="-1" w:type="dxa"/>
              <w:right w:w="-1" w:type="dxa"/>
            </w:tcMar>
            <w:vAlign w:val="center"/>
          </w:tcPr>
          <w:p w14:paraId="5069F878">
            <w:pPr>
              <w:widowControl/>
              <w:snapToGrid w:val="0"/>
              <w:jc w:val="left"/>
              <w:textAlignment w:val="center"/>
              <w:rPr>
                <w:rFonts w:ascii="Arial" w:hAnsi="Arial" w:cs="Arial"/>
                <w:b/>
                <w:sz w:val="22"/>
                <w:szCs w:val="22"/>
              </w:rPr>
            </w:pPr>
            <w:r>
              <w:rPr>
                <w:rFonts w:ascii="Arial" w:hAnsi="Arial" w:cs="Arial"/>
                <w:b/>
                <w:sz w:val="22"/>
                <w:szCs w:val="22"/>
              </w:rPr>
              <w:t>Calf feed</w:t>
            </w:r>
          </w:p>
        </w:tc>
        <w:tc>
          <w:tcPr>
            <w:tcW w:w="3753" w:type="dxa"/>
            <w:tcBorders>
              <w:top w:val="nil"/>
              <w:left w:val="nil"/>
              <w:bottom w:val="single" w:color="auto" w:sz="12" w:space="0"/>
              <w:right w:val="nil"/>
            </w:tcBorders>
            <w:tcMar>
              <w:top w:w="-1" w:type="dxa"/>
              <w:left w:w="-1" w:type="dxa"/>
              <w:bottom w:w="-1" w:type="dxa"/>
              <w:right w:w="-1" w:type="dxa"/>
            </w:tcMar>
            <w:vAlign w:val="center"/>
          </w:tcPr>
          <w:p w14:paraId="0C6DE2F2">
            <w:pPr>
              <w:widowControl/>
              <w:snapToGrid w:val="0"/>
              <w:jc w:val="center"/>
              <w:textAlignment w:val="center"/>
              <w:rPr>
                <w:rFonts w:ascii="Arial" w:hAnsi="Arial" w:cs="Arial"/>
                <w:sz w:val="22"/>
                <w:szCs w:val="22"/>
              </w:rPr>
            </w:pPr>
            <w:r>
              <w:rPr>
                <w:rFonts w:ascii="Arial" w:hAnsi="Arial" w:cs="Arial"/>
                <w:sz w:val="22"/>
                <w:szCs w:val="22"/>
              </w:rPr>
              <w:t>0.5-1.5%</w:t>
            </w:r>
          </w:p>
        </w:tc>
      </w:tr>
    </w:tbl>
    <w:p w14:paraId="42BE0355">
      <w:pPr>
        <w:spacing w:after="100" w:line="300" w:lineRule="auto"/>
        <w:rPr>
          <w:rFonts w:ascii="Arial" w:hAnsi="Arial" w:cs="Arial"/>
        </w:rPr>
      </w:pPr>
    </w:p>
    <w:p w14:paraId="0E92BA76">
      <w:pPr>
        <w:spacing w:before="190" w:after="80"/>
        <w:outlineLvl w:val="1"/>
        <w:rPr>
          <w:rFonts w:ascii="Arial" w:hAnsi="Arial" w:cs="Arial"/>
        </w:rPr>
      </w:pPr>
      <w:r>
        <w:rPr>
          <w:rFonts w:ascii="Arial" w:hAnsi="Arial" w:eastAsia="黑体" w:cs="Arial"/>
          <w:b/>
          <w:sz w:val="24"/>
          <w:szCs w:val="24"/>
        </w:rPr>
        <w:t>8.2 Substitution Strategies</w:t>
      </w:r>
    </w:p>
    <w:tbl>
      <w:tblPr>
        <w:tblStyle w:val="14"/>
        <w:tblW w:w="936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600"/>
        <w:gridCol w:w="2600"/>
        <w:gridCol w:w="4160"/>
      </w:tblGrid>
      <w:tr w14:paraId="43C82EA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6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2E07E788">
            <w:pPr>
              <w:widowControl/>
              <w:snapToGrid w:val="0"/>
              <w:textAlignment w:val="center"/>
              <w:rPr>
                <w:rFonts w:ascii="Arial" w:hAnsi="Arial" w:cs="Arial"/>
                <w:b/>
                <w:sz w:val="22"/>
                <w:szCs w:val="22"/>
              </w:rPr>
            </w:pPr>
            <w:r>
              <w:rPr>
                <w:rFonts w:ascii="Arial" w:hAnsi="Arial" w:cs="Arial"/>
                <w:b/>
                <w:sz w:val="22"/>
                <w:szCs w:val="22"/>
              </w:rPr>
              <w:t>Target for Replacement</w:t>
            </w:r>
          </w:p>
        </w:tc>
        <w:tc>
          <w:tcPr>
            <w:tcW w:w="260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004A1BC2">
            <w:pPr>
              <w:widowControl/>
              <w:snapToGrid w:val="0"/>
              <w:textAlignment w:val="center"/>
              <w:rPr>
                <w:rFonts w:ascii="Arial" w:hAnsi="Arial" w:cs="Arial"/>
                <w:sz w:val="22"/>
                <w:szCs w:val="22"/>
              </w:rPr>
            </w:pPr>
            <w:r>
              <w:rPr>
                <w:rFonts w:ascii="Arial" w:hAnsi="Arial" w:cs="Arial"/>
                <w:sz w:val="22"/>
                <w:szCs w:val="22"/>
              </w:rPr>
              <w:t xml:space="preserve">Recommended </w:t>
            </w:r>
            <w:r>
              <w:rPr>
                <w:rFonts w:hint="eastAsia" w:ascii="Arial" w:hAnsi="Arial" w:cs="Arial"/>
                <w:sz w:val="22"/>
                <w:szCs w:val="22"/>
              </w:rPr>
              <w:t>Inclusion Rate</w:t>
            </w:r>
            <w:r>
              <w:rPr>
                <w:rFonts w:ascii="Arial" w:hAnsi="Arial" w:cs="Arial"/>
                <w:sz w:val="22"/>
                <w:szCs w:val="22"/>
              </w:rPr>
              <w:t xml:space="preserve"> / Ratio</w:t>
            </w:r>
          </w:p>
        </w:tc>
        <w:tc>
          <w:tcPr>
            <w:tcW w:w="4160" w:type="dxa"/>
            <w:tcBorders>
              <w:top w:val="single" w:color="000000" w:sz="12" w:space="0"/>
              <w:left w:val="nil"/>
              <w:bottom w:val="single" w:color="000000" w:sz="6" w:space="0"/>
              <w:right w:val="nil"/>
            </w:tcBorders>
            <w:tcMar>
              <w:top w:w="70" w:type="dxa"/>
              <w:left w:w="90" w:type="dxa"/>
              <w:bottom w:w="70" w:type="dxa"/>
              <w:right w:w="90" w:type="dxa"/>
            </w:tcMar>
            <w:vAlign w:val="center"/>
          </w:tcPr>
          <w:p w14:paraId="3617A2AA">
            <w:pPr>
              <w:widowControl/>
              <w:snapToGrid w:val="0"/>
              <w:textAlignment w:val="center"/>
              <w:rPr>
                <w:rFonts w:ascii="Arial" w:hAnsi="Arial" w:cs="Arial"/>
                <w:sz w:val="22"/>
                <w:szCs w:val="22"/>
              </w:rPr>
            </w:pPr>
            <w:r>
              <w:rPr>
                <w:rFonts w:ascii="Arial" w:hAnsi="Arial" w:cs="Arial"/>
                <w:sz w:val="22"/>
                <w:szCs w:val="22"/>
              </w:rPr>
              <w:t>Description</w:t>
            </w:r>
          </w:p>
        </w:tc>
      </w:tr>
      <w:tr w14:paraId="2EC4E59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71B264D4">
            <w:pPr>
              <w:widowControl/>
              <w:snapToGrid w:val="0"/>
              <w:textAlignment w:val="center"/>
              <w:rPr>
                <w:rFonts w:ascii="Arial" w:hAnsi="Arial" w:cs="Arial"/>
                <w:b/>
                <w:sz w:val="22"/>
                <w:szCs w:val="22"/>
              </w:rPr>
            </w:pPr>
            <w:r>
              <w:rPr>
                <w:rFonts w:ascii="Arial" w:hAnsi="Arial" w:cs="Arial"/>
                <w:b/>
                <w:sz w:val="22"/>
                <w:szCs w:val="22"/>
              </w:rPr>
              <w:t>Fishmeal</w:t>
            </w:r>
          </w:p>
        </w:tc>
        <w:tc>
          <w:tcPr>
            <w:tcW w:w="2600" w:type="dxa"/>
            <w:tcBorders>
              <w:top w:val="nil"/>
              <w:left w:val="nil"/>
              <w:bottom w:val="nil"/>
              <w:right w:val="nil"/>
            </w:tcBorders>
            <w:tcMar>
              <w:top w:w="55" w:type="dxa"/>
              <w:left w:w="90" w:type="dxa"/>
              <w:bottom w:w="55" w:type="dxa"/>
              <w:right w:w="90" w:type="dxa"/>
            </w:tcMar>
            <w:vAlign w:val="center"/>
          </w:tcPr>
          <w:p w14:paraId="63D300A4">
            <w:pPr>
              <w:widowControl/>
              <w:snapToGrid w:val="0"/>
              <w:textAlignment w:val="center"/>
              <w:rPr>
                <w:rFonts w:ascii="Arial" w:hAnsi="Arial" w:cs="Arial"/>
                <w:sz w:val="22"/>
                <w:szCs w:val="22"/>
              </w:rPr>
            </w:pPr>
            <w:r>
              <w:rPr>
                <w:rFonts w:ascii="Arial" w:hAnsi="Arial" w:cs="Arial"/>
                <w:sz w:val="22"/>
                <w:szCs w:val="22"/>
              </w:rPr>
              <w:t>2–5%</w:t>
            </w:r>
          </w:p>
        </w:tc>
        <w:tc>
          <w:tcPr>
            <w:tcW w:w="4160" w:type="dxa"/>
            <w:tcBorders>
              <w:top w:val="nil"/>
              <w:left w:val="nil"/>
              <w:bottom w:val="nil"/>
              <w:right w:val="nil"/>
            </w:tcBorders>
            <w:tcMar>
              <w:top w:w="55" w:type="dxa"/>
              <w:left w:w="90" w:type="dxa"/>
              <w:bottom w:w="55" w:type="dxa"/>
              <w:right w:w="90" w:type="dxa"/>
            </w:tcMar>
            <w:vAlign w:val="center"/>
          </w:tcPr>
          <w:p w14:paraId="30CC7583">
            <w:pPr>
              <w:widowControl/>
              <w:snapToGrid w:val="0"/>
              <w:textAlignment w:val="center"/>
              <w:rPr>
                <w:rFonts w:ascii="Arial" w:hAnsi="Arial" w:cs="Arial"/>
                <w:sz w:val="22"/>
                <w:szCs w:val="22"/>
              </w:rPr>
            </w:pPr>
            <w:r>
              <w:rPr>
                <w:rFonts w:ascii="Arial" w:hAnsi="Arial" w:cs="Arial"/>
                <w:sz w:val="22"/>
                <w:szCs w:val="22"/>
              </w:rPr>
              <w:t>It can replace a portion of fishmeal in various formulations to maintain growth performance</w:t>
            </w:r>
          </w:p>
        </w:tc>
      </w:tr>
      <w:tr w14:paraId="3FD60E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nil"/>
              <w:right w:val="nil"/>
            </w:tcBorders>
            <w:tcMar>
              <w:top w:w="55" w:type="dxa"/>
              <w:left w:w="90" w:type="dxa"/>
              <w:bottom w:w="55" w:type="dxa"/>
              <w:right w:w="90" w:type="dxa"/>
            </w:tcMar>
            <w:vAlign w:val="center"/>
          </w:tcPr>
          <w:p w14:paraId="52A82114">
            <w:pPr>
              <w:widowControl/>
              <w:snapToGrid w:val="0"/>
              <w:textAlignment w:val="center"/>
              <w:rPr>
                <w:rFonts w:ascii="Arial" w:hAnsi="Arial" w:cs="Arial"/>
                <w:b/>
                <w:sz w:val="22"/>
                <w:szCs w:val="22"/>
              </w:rPr>
            </w:pPr>
            <w:r>
              <w:rPr>
                <w:rFonts w:ascii="Arial" w:hAnsi="Arial" w:cs="Arial"/>
                <w:b/>
                <w:sz w:val="22"/>
                <w:szCs w:val="22"/>
              </w:rPr>
              <w:t>Yeast hydrolysate</w:t>
            </w:r>
          </w:p>
        </w:tc>
        <w:tc>
          <w:tcPr>
            <w:tcW w:w="2600" w:type="dxa"/>
            <w:tcBorders>
              <w:top w:val="nil"/>
              <w:left w:val="nil"/>
              <w:bottom w:val="nil"/>
              <w:right w:val="nil"/>
            </w:tcBorders>
            <w:tcMar>
              <w:top w:w="55" w:type="dxa"/>
              <w:left w:w="90" w:type="dxa"/>
              <w:bottom w:w="55" w:type="dxa"/>
              <w:right w:w="90" w:type="dxa"/>
            </w:tcMar>
            <w:vAlign w:val="center"/>
          </w:tcPr>
          <w:p w14:paraId="1709CC97">
            <w:pPr>
              <w:widowControl/>
              <w:snapToGrid w:val="0"/>
              <w:textAlignment w:val="center"/>
              <w:rPr>
                <w:rFonts w:ascii="Arial" w:hAnsi="Arial" w:cs="Arial"/>
                <w:sz w:val="22"/>
                <w:szCs w:val="22"/>
              </w:rPr>
            </w:pPr>
            <w:r>
              <w:rPr>
                <w:rFonts w:ascii="Arial" w:hAnsi="Arial" w:cs="Arial"/>
                <w:sz w:val="22"/>
                <w:szCs w:val="22"/>
              </w:rPr>
              <w:t>PeptiMax : yeast hydrolysate = 5 : 1</w:t>
            </w:r>
          </w:p>
        </w:tc>
        <w:tc>
          <w:tcPr>
            <w:tcW w:w="4160" w:type="dxa"/>
            <w:tcBorders>
              <w:top w:val="nil"/>
              <w:left w:val="nil"/>
              <w:bottom w:val="nil"/>
              <w:right w:val="nil"/>
            </w:tcBorders>
            <w:tcMar>
              <w:top w:w="55" w:type="dxa"/>
              <w:left w:w="90" w:type="dxa"/>
              <w:bottom w:w="55" w:type="dxa"/>
              <w:right w:w="90" w:type="dxa"/>
            </w:tcMar>
            <w:vAlign w:val="center"/>
          </w:tcPr>
          <w:p w14:paraId="6DFA8BE7">
            <w:pPr>
              <w:widowControl/>
              <w:snapToGrid w:val="0"/>
              <w:textAlignment w:val="center"/>
              <w:rPr>
                <w:rFonts w:ascii="Arial" w:hAnsi="Arial" w:cs="Arial"/>
                <w:sz w:val="22"/>
                <w:szCs w:val="22"/>
              </w:rPr>
            </w:pPr>
            <w:r>
              <w:rPr>
                <w:rFonts w:ascii="Arial" w:hAnsi="Arial" w:cs="Arial"/>
                <w:sz w:val="22"/>
                <w:szCs w:val="22"/>
              </w:rPr>
              <w:t>Reduces ingredient costs while maintaining immune</w:t>
            </w:r>
            <w:r>
              <w:rPr>
                <w:rFonts w:ascii="Cambria Math" w:hAnsi="Cambria Math" w:cs="Cambria Math"/>
                <w:sz w:val="22"/>
                <w:szCs w:val="22"/>
              </w:rPr>
              <w:t>‑</w:t>
            </w:r>
            <w:r>
              <w:rPr>
                <w:rFonts w:ascii="Arial" w:hAnsi="Arial" w:cs="Arial"/>
                <w:sz w:val="22"/>
                <w:szCs w:val="22"/>
              </w:rPr>
              <w:t>enhancing effects</w:t>
            </w:r>
          </w:p>
        </w:tc>
      </w:tr>
      <w:tr w14:paraId="21132DC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600" w:type="dxa"/>
            <w:tcBorders>
              <w:top w:val="nil"/>
              <w:left w:val="nil"/>
              <w:bottom w:val="single" w:color="000000" w:sz="12" w:space="0"/>
              <w:right w:val="nil"/>
            </w:tcBorders>
            <w:tcMar>
              <w:top w:w="55" w:type="dxa"/>
              <w:left w:w="90" w:type="dxa"/>
              <w:bottom w:w="55" w:type="dxa"/>
              <w:right w:w="90" w:type="dxa"/>
            </w:tcMar>
            <w:vAlign w:val="center"/>
          </w:tcPr>
          <w:p w14:paraId="1208B887">
            <w:pPr>
              <w:widowControl/>
              <w:snapToGrid w:val="0"/>
              <w:textAlignment w:val="center"/>
              <w:rPr>
                <w:rFonts w:ascii="Arial" w:hAnsi="Arial" w:cs="Arial"/>
                <w:b/>
                <w:sz w:val="22"/>
                <w:szCs w:val="22"/>
              </w:rPr>
            </w:pPr>
            <w:r>
              <w:rPr>
                <w:rFonts w:hint="eastAsia" w:ascii="Arial" w:hAnsi="Arial" w:cs="Arial"/>
                <w:b/>
                <w:sz w:val="22"/>
                <w:szCs w:val="22"/>
                <w:lang w:eastAsia="zh-CN"/>
              </w:rPr>
              <w:t>Premium</w:t>
            </w:r>
            <w:r>
              <w:rPr>
                <w:rFonts w:hint="eastAsia" w:ascii="Arial" w:hAnsi="Arial" w:cs="Arial"/>
                <w:b/>
                <w:sz w:val="22"/>
                <w:szCs w:val="22"/>
                <w:lang w:val="en-US" w:eastAsia="zh-CN"/>
              </w:rPr>
              <w:t xml:space="preserve"> </w:t>
            </w:r>
            <w:bookmarkStart w:id="1" w:name="_GoBack"/>
            <w:bookmarkEnd w:id="1"/>
            <w:r>
              <w:rPr>
                <w:rFonts w:ascii="Arial" w:hAnsi="Arial" w:cs="Arial"/>
                <w:b/>
                <w:sz w:val="22"/>
                <w:szCs w:val="22"/>
              </w:rPr>
              <w:t>fermented plant proteins</w:t>
            </w:r>
          </w:p>
        </w:tc>
        <w:tc>
          <w:tcPr>
            <w:tcW w:w="2600" w:type="dxa"/>
            <w:tcBorders>
              <w:top w:val="nil"/>
              <w:left w:val="nil"/>
              <w:bottom w:val="single" w:color="000000" w:sz="12" w:space="0"/>
              <w:right w:val="nil"/>
            </w:tcBorders>
            <w:tcMar>
              <w:top w:w="55" w:type="dxa"/>
              <w:left w:w="90" w:type="dxa"/>
              <w:bottom w:w="55" w:type="dxa"/>
              <w:right w:w="90" w:type="dxa"/>
            </w:tcMar>
            <w:vAlign w:val="center"/>
          </w:tcPr>
          <w:p w14:paraId="739BDF9E">
            <w:pPr>
              <w:widowControl/>
              <w:snapToGrid w:val="0"/>
              <w:textAlignment w:val="center"/>
              <w:rPr>
                <w:rFonts w:ascii="Arial" w:hAnsi="Arial" w:cs="Arial"/>
                <w:sz w:val="22"/>
                <w:szCs w:val="22"/>
              </w:rPr>
            </w:pPr>
            <w:r>
              <w:rPr>
                <w:rFonts w:ascii="Arial" w:hAnsi="Arial" w:cs="Arial"/>
                <w:sz w:val="22"/>
                <w:szCs w:val="22"/>
              </w:rPr>
              <w:t>Replaces at a ratio of 1:1, subject to adjustments based on formulation</w:t>
            </w:r>
          </w:p>
        </w:tc>
        <w:tc>
          <w:tcPr>
            <w:tcW w:w="4160" w:type="dxa"/>
            <w:tcBorders>
              <w:top w:val="nil"/>
              <w:left w:val="nil"/>
              <w:bottom w:val="single" w:color="000000" w:sz="12" w:space="0"/>
              <w:right w:val="nil"/>
            </w:tcBorders>
            <w:tcMar>
              <w:top w:w="55" w:type="dxa"/>
              <w:left w:w="90" w:type="dxa"/>
              <w:bottom w:w="55" w:type="dxa"/>
              <w:right w:w="90" w:type="dxa"/>
            </w:tcMar>
            <w:vAlign w:val="center"/>
          </w:tcPr>
          <w:p w14:paraId="3DDEA2AA">
            <w:pPr>
              <w:widowControl/>
              <w:snapToGrid w:val="0"/>
              <w:textAlignment w:val="center"/>
              <w:rPr>
                <w:rFonts w:ascii="Arial" w:hAnsi="Arial" w:cs="Arial"/>
                <w:sz w:val="22"/>
                <w:szCs w:val="22"/>
              </w:rPr>
            </w:pPr>
            <w:r>
              <w:rPr>
                <w:rFonts w:ascii="Arial" w:hAnsi="Arial" w:cs="Arial"/>
                <w:sz w:val="22"/>
                <w:szCs w:val="22"/>
              </w:rPr>
              <w:t>A localized alternative that balances production performance, supply stability, and cost advantages</w:t>
            </w:r>
          </w:p>
        </w:tc>
      </w:tr>
    </w:tbl>
    <w:p w14:paraId="77CED7FE">
      <w:pPr>
        <w:spacing w:before="190" w:after="80"/>
        <w:outlineLvl w:val="1"/>
        <w:rPr>
          <w:rFonts w:ascii="Arial" w:hAnsi="Arial" w:cs="Arial"/>
        </w:rPr>
      </w:pPr>
      <w:r>
        <w:rPr>
          <w:rFonts w:ascii="Arial" w:hAnsi="Arial" w:eastAsia="黑体" w:cs="Arial"/>
          <w:b/>
          <w:sz w:val="24"/>
          <w:szCs w:val="24"/>
        </w:rPr>
        <w:t>8.3 Product Specifications</w:t>
      </w:r>
    </w:p>
    <w:p w14:paraId="554122C8">
      <w:pPr>
        <w:pStyle w:val="12"/>
        <w:widowControl/>
        <w:spacing w:beforeAutospacing="1" w:afterAutospacing="1"/>
        <w:rPr>
          <w:rFonts w:ascii="Arial" w:hAnsi="Arial" w:cs="Arial"/>
          <w:sz w:val="22"/>
          <w:szCs w:val="20"/>
        </w:rPr>
      </w:pPr>
      <w:r>
        <w:rPr>
          <w:rStyle w:val="16"/>
          <w:rFonts w:ascii="Arial" w:hAnsi="Arial" w:cs="Arial"/>
          <w:sz w:val="22"/>
          <w:szCs w:val="20"/>
        </w:rPr>
        <w:t>Packaging</w:t>
      </w:r>
      <w:r>
        <w:rPr>
          <w:rFonts w:ascii="Arial" w:hAnsi="Arial" w:cs="Arial"/>
          <w:b/>
          <w:sz w:val="22"/>
          <w:szCs w:val="20"/>
        </w:rPr>
        <w:t xml:space="preserve"> </w:t>
      </w:r>
      <w:r>
        <w:rPr>
          <w:rFonts w:hint="eastAsia" w:ascii="Arial" w:hAnsi="Arial" w:cs="Arial"/>
          <w:b/>
          <w:sz w:val="22"/>
          <w:szCs w:val="20"/>
        </w:rPr>
        <w:t>S</w:t>
      </w:r>
      <w:r>
        <w:rPr>
          <w:rFonts w:ascii="Arial" w:hAnsi="Arial" w:cs="Arial"/>
          <w:b/>
          <w:sz w:val="22"/>
          <w:szCs w:val="20"/>
        </w:rPr>
        <w:t xml:space="preserve">pecification: </w:t>
      </w:r>
      <w:r>
        <w:rPr>
          <w:rFonts w:ascii="Arial" w:hAnsi="Arial" w:cs="Arial"/>
          <w:sz w:val="22"/>
          <w:szCs w:val="20"/>
        </w:rPr>
        <w:t>25 kg/bag</w:t>
      </w:r>
    </w:p>
    <w:p w14:paraId="3EE04812">
      <w:pPr>
        <w:pStyle w:val="12"/>
        <w:widowControl/>
        <w:spacing w:beforeAutospacing="1" w:afterAutospacing="1"/>
        <w:rPr>
          <w:rFonts w:ascii="Arial" w:hAnsi="Arial" w:cs="Arial"/>
          <w:sz w:val="22"/>
          <w:szCs w:val="20"/>
        </w:rPr>
      </w:pPr>
      <w:r>
        <w:rPr>
          <w:rStyle w:val="16"/>
          <w:rFonts w:ascii="Arial" w:hAnsi="Arial" w:cs="Arial"/>
          <w:sz w:val="22"/>
          <w:szCs w:val="20"/>
        </w:rPr>
        <w:t>Shelf</w:t>
      </w:r>
      <w:r>
        <w:rPr>
          <w:rFonts w:ascii="Arial" w:hAnsi="Arial" w:cs="Arial"/>
          <w:b/>
          <w:sz w:val="22"/>
          <w:szCs w:val="20"/>
        </w:rPr>
        <w:t xml:space="preserve"> </w:t>
      </w:r>
      <w:r>
        <w:rPr>
          <w:rFonts w:hint="eastAsia" w:ascii="Arial" w:hAnsi="Arial" w:cs="Arial"/>
          <w:b/>
          <w:sz w:val="22"/>
          <w:szCs w:val="20"/>
        </w:rPr>
        <w:t>L</w:t>
      </w:r>
      <w:r>
        <w:rPr>
          <w:rFonts w:ascii="Arial" w:hAnsi="Arial" w:cs="Arial"/>
          <w:b/>
          <w:sz w:val="22"/>
          <w:szCs w:val="20"/>
        </w:rPr>
        <w:t xml:space="preserve">ife: </w:t>
      </w:r>
      <w:r>
        <w:rPr>
          <w:rFonts w:ascii="Arial" w:hAnsi="Arial" w:cs="Arial"/>
          <w:sz w:val="22"/>
          <w:szCs w:val="20"/>
        </w:rPr>
        <w:t>12 months from the date of production</w:t>
      </w:r>
    </w:p>
    <w:p w14:paraId="3D39A638">
      <w:pPr>
        <w:pStyle w:val="12"/>
        <w:widowControl/>
        <w:spacing w:beforeAutospacing="1" w:afterAutospacing="1"/>
        <w:rPr>
          <w:rFonts w:ascii="Arial" w:hAnsi="Arial" w:cs="Arial"/>
          <w:sz w:val="22"/>
          <w:szCs w:val="20"/>
        </w:rPr>
      </w:pPr>
      <w:r>
        <w:rPr>
          <w:rStyle w:val="16"/>
          <w:rFonts w:ascii="Arial" w:hAnsi="Arial" w:cs="Arial"/>
          <w:sz w:val="22"/>
          <w:szCs w:val="20"/>
        </w:rPr>
        <w:t xml:space="preserve">Storage </w:t>
      </w:r>
      <w:r>
        <w:rPr>
          <w:rStyle w:val="16"/>
          <w:rFonts w:hint="eastAsia" w:ascii="Arial" w:hAnsi="Arial" w:cs="Arial"/>
          <w:sz w:val="22"/>
          <w:szCs w:val="20"/>
        </w:rPr>
        <w:t>C</w:t>
      </w:r>
      <w:r>
        <w:rPr>
          <w:rStyle w:val="16"/>
          <w:rFonts w:ascii="Arial" w:hAnsi="Arial" w:cs="Arial"/>
          <w:sz w:val="22"/>
          <w:szCs w:val="20"/>
        </w:rPr>
        <w:t>onditions</w:t>
      </w:r>
      <w:r>
        <w:rPr>
          <w:rFonts w:ascii="Arial" w:hAnsi="Arial" w:cs="Arial"/>
          <w:sz w:val="22"/>
          <w:szCs w:val="20"/>
        </w:rPr>
        <w:t>: Stored in a sealed, well</w:t>
      </w:r>
      <w:r>
        <w:rPr>
          <w:rFonts w:ascii="Cambria Math" w:hAnsi="Cambria Math" w:cs="Cambria Math"/>
          <w:sz w:val="22"/>
          <w:szCs w:val="20"/>
        </w:rPr>
        <w:t>‑</w:t>
      </w:r>
      <w:r>
        <w:rPr>
          <w:rFonts w:ascii="Arial" w:hAnsi="Arial" w:cs="Arial"/>
          <w:sz w:val="22"/>
          <w:szCs w:val="20"/>
        </w:rPr>
        <w:t>ventilated, and dry place; avoid direct sunlight and moisture. It is recommended to store it on pallets, away from walls and floors. After opening the packaging bag, reseal promptly and use it as soon as possible.</w:t>
      </w:r>
    </w:p>
    <w:p w14:paraId="67AA775A">
      <w:pPr>
        <w:rPr>
          <w:rFonts w:ascii="Arial" w:hAnsi="Arial" w:cs="Arial"/>
        </w:rPr>
      </w:pPr>
    </w:p>
    <w:sectPr>
      <w:pgSz w:w="11906" w:h="16838"/>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726"/>
    <w:rsid w:val="00245BDF"/>
    <w:rsid w:val="0046627F"/>
    <w:rsid w:val="005610A7"/>
    <w:rsid w:val="00780D8E"/>
    <w:rsid w:val="00961439"/>
    <w:rsid w:val="00C05726"/>
    <w:rsid w:val="00C80855"/>
    <w:rsid w:val="0BC95DF7"/>
    <w:rsid w:val="11D262E3"/>
    <w:rsid w:val="219238A3"/>
    <w:rsid w:val="27180B8F"/>
    <w:rsid w:val="34B538C5"/>
    <w:rsid w:val="5A0F5385"/>
    <w:rsid w:val="685E7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sz w:val="21"/>
      <w:szCs w:val="21"/>
      <w:lang w:val="en" w:eastAsia="zh-CN" w:bidi="ar-SA"/>
    </w:rPr>
  </w:style>
  <w:style w:type="paragraph" w:styleId="2">
    <w:name w:val="heading 1"/>
    <w:next w:val="1"/>
    <w:qFormat/>
    <w:uiPriority w:val="0"/>
    <w:pPr>
      <w:outlineLvl w:val="0"/>
    </w:pPr>
    <w:rPr>
      <w:rFonts w:ascii="宋体" w:hAnsi="宋体" w:eastAsia="宋体" w:cs="宋体"/>
      <w:color w:val="2E74B5"/>
      <w:sz w:val="32"/>
      <w:szCs w:val="32"/>
      <w:lang w:val="en" w:eastAsia="zh-CN" w:bidi="ar-SA"/>
    </w:rPr>
  </w:style>
  <w:style w:type="paragraph" w:styleId="3">
    <w:name w:val="heading 2"/>
    <w:next w:val="1"/>
    <w:qFormat/>
    <w:uiPriority w:val="0"/>
    <w:pPr>
      <w:outlineLvl w:val="1"/>
    </w:pPr>
    <w:rPr>
      <w:rFonts w:ascii="宋体" w:hAnsi="宋体" w:eastAsia="宋体" w:cs="宋体"/>
      <w:color w:val="2E74B5"/>
      <w:sz w:val="26"/>
      <w:szCs w:val="26"/>
      <w:lang w:val="en" w:eastAsia="zh-CN" w:bidi="ar-SA"/>
    </w:rPr>
  </w:style>
  <w:style w:type="paragraph" w:styleId="4">
    <w:name w:val="heading 3"/>
    <w:next w:val="1"/>
    <w:qFormat/>
    <w:uiPriority w:val="0"/>
    <w:pPr>
      <w:outlineLvl w:val="2"/>
    </w:pPr>
    <w:rPr>
      <w:rFonts w:ascii="宋体" w:hAnsi="宋体" w:eastAsia="宋体" w:cs="宋体"/>
      <w:color w:val="1F4D78"/>
      <w:sz w:val="24"/>
      <w:szCs w:val="24"/>
      <w:lang w:val="en" w:eastAsia="zh-CN" w:bidi="ar-SA"/>
    </w:rPr>
  </w:style>
  <w:style w:type="paragraph" w:styleId="5">
    <w:name w:val="heading 4"/>
    <w:next w:val="1"/>
    <w:qFormat/>
    <w:uiPriority w:val="0"/>
    <w:pPr>
      <w:outlineLvl w:val="3"/>
    </w:pPr>
    <w:rPr>
      <w:rFonts w:ascii="宋体" w:hAnsi="宋体" w:eastAsia="宋体" w:cs="宋体"/>
      <w:i/>
      <w:iCs/>
      <w:color w:val="2E74B5"/>
      <w:sz w:val="21"/>
      <w:szCs w:val="21"/>
      <w:lang w:val="en" w:eastAsia="zh-CN" w:bidi="ar-SA"/>
    </w:rPr>
  </w:style>
  <w:style w:type="paragraph" w:styleId="6">
    <w:name w:val="heading 5"/>
    <w:next w:val="1"/>
    <w:qFormat/>
    <w:uiPriority w:val="0"/>
    <w:pPr>
      <w:outlineLvl w:val="4"/>
    </w:pPr>
    <w:rPr>
      <w:rFonts w:ascii="宋体" w:hAnsi="宋体" w:eastAsia="宋体" w:cs="宋体"/>
      <w:color w:val="2E74B5"/>
      <w:sz w:val="21"/>
      <w:szCs w:val="21"/>
      <w:lang w:val="en" w:eastAsia="zh-CN" w:bidi="ar-SA"/>
    </w:rPr>
  </w:style>
  <w:style w:type="paragraph" w:styleId="7">
    <w:name w:val="heading 6"/>
    <w:next w:val="1"/>
    <w:qFormat/>
    <w:uiPriority w:val="0"/>
    <w:pPr>
      <w:outlineLvl w:val="5"/>
    </w:pPr>
    <w:rPr>
      <w:rFonts w:ascii="宋体" w:hAnsi="宋体" w:eastAsia="宋体" w:cs="宋体"/>
      <w:color w:val="1F4D78"/>
      <w:sz w:val="21"/>
      <w:szCs w:val="21"/>
      <w:lang w:val="en" w:eastAsia="zh-CN" w:bidi="ar-SA"/>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endnote text"/>
    <w:link w:val="22"/>
    <w:semiHidden/>
    <w:unhideWhenUsed/>
    <w:qFormat/>
    <w:uiPriority w:val="99"/>
    <w:rPr>
      <w:rFonts w:ascii="宋体" w:hAnsi="宋体" w:eastAsia="宋体" w:cs="宋体"/>
      <w:color w:val="000000"/>
      <w:lang w:val="en" w:eastAsia="zh-CN" w:bidi="ar-SA"/>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link w:val="21"/>
    <w:semiHidden/>
    <w:unhideWhenUsed/>
    <w:qFormat/>
    <w:uiPriority w:val="99"/>
    <w:rPr>
      <w:rFonts w:ascii="宋体" w:hAnsi="宋体" w:eastAsia="宋体" w:cs="宋体"/>
      <w:color w:val="000000"/>
      <w:lang w:val="en" w:eastAsia="zh-CN" w:bidi="ar-SA"/>
    </w:rPr>
  </w:style>
  <w:style w:type="paragraph" w:styleId="12">
    <w:name w:val="Normal (Web)"/>
    <w:basedOn w:val="1"/>
    <w:qFormat/>
    <w:uiPriority w:val="0"/>
    <w:rPr>
      <w:sz w:val="24"/>
    </w:rPr>
  </w:style>
  <w:style w:type="paragraph" w:styleId="13">
    <w:name w:val="Title"/>
    <w:qFormat/>
    <w:uiPriority w:val="0"/>
    <w:rPr>
      <w:rFonts w:ascii="宋体" w:hAnsi="宋体" w:eastAsia="宋体" w:cs="宋体"/>
      <w:color w:val="000000"/>
      <w:sz w:val="56"/>
      <w:szCs w:val="56"/>
      <w:lang w:val="en" w:eastAsia="zh-CN" w:bidi="ar-SA"/>
    </w:rPr>
  </w:style>
  <w:style w:type="character" w:styleId="16">
    <w:name w:val="Strong"/>
    <w:basedOn w:val="15"/>
    <w:qFormat/>
    <w:uiPriority w:val="0"/>
    <w:rPr>
      <w:b/>
    </w:rPr>
  </w:style>
  <w:style w:type="character" w:styleId="17">
    <w:name w:val="endnote reference"/>
    <w:semiHidden/>
    <w:unhideWhenUsed/>
    <w:qFormat/>
    <w:uiPriority w:val="99"/>
    <w:rPr>
      <w:vertAlign w:val="superscript"/>
    </w:rPr>
  </w:style>
  <w:style w:type="character" w:styleId="18">
    <w:name w:val="Hyperlink"/>
    <w:unhideWhenUsed/>
    <w:qFormat/>
    <w:uiPriority w:val="99"/>
    <w:rPr>
      <w:color w:val="0563C1"/>
      <w:u w:val="single"/>
    </w:rPr>
  </w:style>
  <w:style w:type="character" w:styleId="19">
    <w:name w:val="footnote reference"/>
    <w:semiHidden/>
    <w:unhideWhenUsed/>
    <w:qFormat/>
    <w:uiPriority w:val="99"/>
    <w:rPr>
      <w:vertAlign w:val="superscript"/>
    </w:rPr>
  </w:style>
  <w:style w:type="paragraph" w:styleId="20">
    <w:name w:val="List Paragraph"/>
    <w:qFormat/>
    <w:uiPriority w:val="0"/>
    <w:rPr>
      <w:rFonts w:ascii="宋体" w:hAnsi="宋体" w:eastAsia="宋体" w:cs="宋体"/>
      <w:color w:val="000000"/>
      <w:sz w:val="21"/>
      <w:szCs w:val="21"/>
      <w:lang w:val="en" w:eastAsia="zh-CN" w:bidi="ar-SA"/>
    </w:rPr>
  </w:style>
  <w:style w:type="character" w:customStyle="1" w:styleId="21">
    <w:name w:val="脚注文本 字符"/>
    <w:link w:val="11"/>
    <w:semiHidden/>
    <w:unhideWhenUsed/>
    <w:qFormat/>
    <w:uiPriority w:val="99"/>
    <w:rPr>
      <w:sz w:val="20"/>
      <w:szCs w:val="20"/>
    </w:rPr>
  </w:style>
  <w:style w:type="character" w:customStyle="1" w:styleId="22">
    <w:name w:val="尾注文本 字符"/>
    <w:link w:val="8"/>
    <w:semiHidden/>
    <w:unhideWhenUsed/>
    <w:qFormat/>
    <w:uiPriority w:val="99"/>
    <w:rPr>
      <w:sz w:val="20"/>
      <w:szCs w:val="20"/>
    </w:rPr>
  </w:style>
  <w:style w:type="character" w:customStyle="1" w:styleId="23">
    <w:name w:val="页眉 字符"/>
    <w:basedOn w:val="15"/>
    <w:link w:val="10"/>
    <w:uiPriority w:val="0"/>
    <w:rPr>
      <w:rFonts w:ascii="宋体" w:hAnsi="宋体" w:cs="宋体"/>
      <w:color w:val="000000"/>
      <w:sz w:val="18"/>
      <w:szCs w:val="18"/>
    </w:rPr>
  </w:style>
  <w:style w:type="character" w:customStyle="1" w:styleId="24">
    <w:name w:val="页脚 字符"/>
    <w:basedOn w:val="15"/>
    <w:link w:val="9"/>
    <w:uiPriority w:val="0"/>
    <w:rPr>
      <w:rFonts w:ascii="宋体" w:hAnsi="宋体" w:cs="宋体"/>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1153</Words>
  <Characters>7625</Characters>
  <Lines>106</Lines>
  <Paragraphs>29</Paragraphs>
  <TotalTime>49</TotalTime>
  <ScaleCrop>false</ScaleCrop>
  <LinksUpToDate>false</LinksUpToDate>
  <CharactersWithSpaces>8604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2026-07-13T08:06:00Z</dcterms:created>
  <dc:creator>Un-named</dc:creator>
  <cp:lastModifiedBy>行远</cp:lastModifiedBy>
  <dcterms:modified xsi:type="dcterms:W3CDTF">2026-07-16T07:48:40Z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eyJoZGlkIjoiMWM4YmNkZmYyMGM2ODgyZGFkM2ZmZWVhYWJkNjZiYjUiLCJ1c2VySWQiOiIyMDIwMjIzODcifQ==</vt:lpwstr>
  </property>
  <property fmtid="{D5CDD505-2E9C-101B-9397-08002B2CF9AE}" pid="3" name="KSOProductBuildVer">
    <vt:lpwstr>2052-12.1.0.26895</vt:lpwstr>
  </property>
  <property fmtid="{D5CDD505-2E9C-101B-9397-08002B2CF9AE}" pid="4" name="ICV">
    <vt:lpwstr>7CC807026746496A8AC671C8E466B21C_13</vt:lpwstr>
  </property>
</Properties>
</file>